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auto"/>
        <w:rPr>
          <w:rFonts w:hint="eastAsia"/>
          <w:b/>
          <w:bCs/>
          <w:sz w:val="32"/>
          <w:szCs w:val="32"/>
          <w:lang w:val="en-US" w:eastAsia="zh-CN"/>
        </w:rPr>
      </w:pPr>
      <w:r>
        <w:rPr>
          <w:rFonts w:hint="eastAsia"/>
          <w:b/>
          <w:bCs/>
          <w:sz w:val="32"/>
          <w:szCs w:val="32"/>
          <w:lang w:val="en-US" w:eastAsia="zh-CN"/>
        </w:rPr>
        <w:t>2019“零碳杯”大赛</w:t>
      </w:r>
    </w:p>
    <w:p>
      <w:pPr>
        <w:pStyle w:val="5"/>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auto"/>
        <w:rPr>
          <w:rFonts w:hint="eastAsia"/>
          <w:sz w:val="28"/>
          <w:szCs w:val="28"/>
          <w:lang w:val="en-US" w:eastAsia="zh-CN"/>
        </w:rPr>
      </w:pPr>
      <w:r>
        <w:rPr>
          <w:rFonts w:hint="eastAsia"/>
          <w:b/>
          <w:bCs/>
          <w:sz w:val="32"/>
          <w:szCs w:val="32"/>
          <w:lang w:val="en-US" w:eastAsia="zh-CN"/>
        </w:rPr>
        <w:t>—智“绘”零碳幼儿园（参考标准）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rPr>
          <w:rFonts w:hint="eastAsia" w:eastAsia="宋体"/>
          <w:sz w:val="28"/>
          <w:szCs w:val="28"/>
          <w:lang w:val="en-US" w:eastAsia="zh-CN"/>
        </w:rPr>
      </w:pPr>
      <w:r>
        <w:rPr>
          <w:rFonts w:hint="eastAsia"/>
          <w:sz w:val="28"/>
          <w:szCs w:val="28"/>
          <w:lang w:val="en-US" w:eastAsia="zh-CN"/>
        </w:rPr>
        <w:t>参考标准：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rPr>
          <w:rFonts w:hint="eastAsia"/>
          <w:sz w:val="28"/>
          <w:szCs w:val="28"/>
          <w:lang w:val="en-US" w:eastAsia="zh-CN"/>
        </w:rPr>
      </w:pPr>
      <w:r>
        <w:rPr>
          <w:rFonts w:hint="eastAsia"/>
          <w:sz w:val="28"/>
          <w:szCs w:val="28"/>
          <w:lang w:val="en-US" w:eastAsia="zh-CN"/>
        </w:rPr>
        <w:t>《绿色建筑评价标准》GB/T50378-2019征求意见稿</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rPr>
          <w:rFonts w:hint="eastAsia"/>
          <w:sz w:val="28"/>
          <w:szCs w:val="28"/>
          <w:lang w:val="en-US" w:eastAsia="zh-CN"/>
        </w:rPr>
      </w:pPr>
      <w:r>
        <w:rPr>
          <w:rFonts w:hint="eastAsia"/>
          <w:sz w:val="28"/>
          <w:szCs w:val="28"/>
          <w:lang w:val="en-US" w:eastAsia="zh-CN"/>
        </w:rPr>
        <w:t>《托儿所、幼儿园建筑设计规范》JGJ 39-2016</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rPr>
          <w:rFonts w:hint="eastAsia"/>
          <w:sz w:val="28"/>
          <w:szCs w:val="28"/>
          <w:lang w:val="en-US" w:eastAsia="zh-CN"/>
        </w:rPr>
      </w:pPr>
      <w:r>
        <w:rPr>
          <w:rFonts w:hint="default"/>
          <w:sz w:val="28"/>
          <w:szCs w:val="28"/>
          <w:lang w:val="en-US" w:eastAsia="zh-CN"/>
        </w:rPr>
        <w:t>《公共建筑节能设计标准》GB50189</w:t>
      </w:r>
      <w:r>
        <w:rPr>
          <w:rFonts w:hint="eastAsia"/>
          <w:sz w:val="28"/>
          <w:szCs w:val="28"/>
          <w:lang w:val="en-US" w:eastAsia="zh-CN"/>
        </w:rPr>
        <w:t>-2015</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rPr>
          <w:rFonts w:hint="default"/>
          <w:sz w:val="28"/>
          <w:szCs w:val="28"/>
          <w:lang w:val="en-US" w:eastAsia="zh-CN"/>
        </w:rPr>
      </w:pPr>
      <w:r>
        <w:rPr>
          <w:rFonts w:hint="eastAsia"/>
          <w:b w:val="0"/>
          <w:bCs w:val="0"/>
          <w:sz w:val="28"/>
          <w:szCs w:val="28"/>
          <w:lang w:val="en-US" w:eastAsia="zh-CN"/>
        </w:rPr>
        <w:t>《建筑工程绿色施工规范》GB/T 50905-2014</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rPr>
          <w:rFonts w:hint="default"/>
          <w:sz w:val="28"/>
          <w:szCs w:val="28"/>
          <w:lang w:val="en-US" w:eastAsia="zh-CN"/>
        </w:rPr>
      </w:pPr>
      <w:r>
        <w:rPr>
          <w:rFonts w:hint="default"/>
          <w:sz w:val="28"/>
          <w:szCs w:val="28"/>
          <w:lang w:val="en-US" w:eastAsia="zh-CN"/>
        </w:rPr>
        <w:t>《建筑照明设计标准》GB 50034</w:t>
      </w:r>
      <w:r>
        <w:rPr>
          <w:rFonts w:hint="eastAsia"/>
          <w:sz w:val="28"/>
          <w:szCs w:val="28"/>
          <w:lang w:val="en-US" w:eastAsia="zh-CN"/>
        </w:rPr>
        <w:t>-2013</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rPr>
          <w:rFonts w:hint="eastAsia"/>
          <w:sz w:val="28"/>
          <w:szCs w:val="28"/>
          <w:lang w:val="en-US" w:eastAsia="zh-CN"/>
        </w:rPr>
      </w:pPr>
      <w:r>
        <w:rPr>
          <w:rFonts w:hint="default"/>
          <w:sz w:val="28"/>
          <w:szCs w:val="28"/>
          <w:lang w:val="en-US" w:eastAsia="zh-CN"/>
        </w:rPr>
        <w:t>《室内空气质量标准》GB/T 18883</w:t>
      </w:r>
      <w:r>
        <w:rPr>
          <w:rFonts w:hint="eastAsia"/>
          <w:sz w:val="28"/>
          <w:szCs w:val="28"/>
          <w:lang w:val="en-US" w:eastAsia="zh-CN"/>
        </w:rPr>
        <w:t>-2012</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rPr>
          <w:rFonts w:hint="eastAsia" w:ascii="Calibri" w:hAnsi="宋体"/>
          <w:color w:val="000000"/>
          <w:sz w:val="28"/>
          <w:lang w:val="en-US" w:eastAsia="zh-CN"/>
        </w:rPr>
      </w:pPr>
      <w:r>
        <w:rPr>
          <w:rFonts w:hint="eastAsia" w:ascii="宋体" w:hAnsi="宋体"/>
          <w:color w:val="000000"/>
          <w:sz w:val="28"/>
          <w:lang w:val="zh-CN"/>
        </w:rPr>
        <w:t>《民用建筑供暖通风与空气调节设计规范》</w:t>
      </w:r>
      <w:r>
        <w:rPr>
          <w:rFonts w:hint="eastAsia" w:ascii="Calibri" w:hAnsi="宋体"/>
          <w:color w:val="000000"/>
          <w:sz w:val="28"/>
          <w:lang w:val="zh-CN"/>
        </w:rPr>
        <w:t>GB 50736</w:t>
      </w:r>
      <w:r>
        <w:rPr>
          <w:rFonts w:hint="eastAsia" w:ascii="Calibri" w:hAnsi="宋体"/>
          <w:color w:val="000000"/>
          <w:sz w:val="28"/>
          <w:lang w:val="en-US" w:eastAsia="zh-CN"/>
        </w:rPr>
        <w:t>-2012</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rPr>
          <w:rFonts w:hint="default" w:ascii="Calibri" w:hAnsi="宋体"/>
          <w:color w:val="000000"/>
          <w:sz w:val="28"/>
          <w:lang w:val="en-US" w:eastAsia="zh-CN"/>
        </w:rPr>
      </w:pPr>
      <w:r>
        <w:rPr>
          <w:rFonts w:hint="eastAsia"/>
          <w:b w:val="0"/>
          <w:bCs w:val="0"/>
          <w:sz w:val="28"/>
          <w:szCs w:val="28"/>
          <w:lang w:val="en-US" w:eastAsia="zh-CN"/>
        </w:rPr>
        <w:t>《建筑工程绿色施工评价标准》GB/T 50640-2010</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rPr>
          <w:rFonts w:hint="eastAsia"/>
          <w:sz w:val="28"/>
          <w:szCs w:val="28"/>
          <w:lang w:val="en-US" w:eastAsia="zh-CN"/>
        </w:rPr>
      </w:pPr>
      <w:r>
        <w:rPr>
          <w:rFonts w:hint="eastAsia"/>
          <w:sz w:val="28"/>
          <w:szCs w:val="28"/>
          <w:lang w:val="en-US" w:eastAsia="zh-CN"/>
        </w:rPr>
        <w:t>注：《绿色建筑评价标准》GB/T50378-2019将于2019年8月1日开始实行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rPr>
          <w:rFonts w:hint="eastAsia"/>
          <w:sz w:val="28"/>
          <w:szCs w:val="28"/>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rPr>
          <w:rFonts w:hint="eastAsia"/>
          <w:sz w:val="28"/>
          <w:szCs w:val="28"/>
          <w:lang w:val="en-US" w:eastAsia="zh-CN"/>
        </w:rPr>
      </w:pPr>
      <w:r>
        <w:rPr>
          <w:rFonts w:hint="eastAsia"/>
          <w:sz w:val="28"/>
          <w:szCs w:val="28"/>
          <w:lang w:val="en-US" w:eastAsia="zh-CN"/>
        </w:rPr>
        <w:t>具体参考标准内容如下：</w:t>
      </w:r>
    </w:p>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b/>
          <w:bCs/>
          <w:color w:val="000000"/>
          <w:sz w:val="28"/>
          <w:lang w:val="zh-CN"/>
        </w:rPr>
      </w:pPr>
      <w:r>
        <w:rPr>
          <w:rFonts w:hint="eastAsia" w:ascii="宋体" w:hAnsi="宋体"/>
          <w:b/>
          <w:bCs/>
          <w:color w:val="000000"/>
          <w:sz w:val="28"/>
          <w:lang w:val="zh-CN"/>
        </w:rPr>
        <w:t>总平面</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jc w:val="both"/>
        <w:textAlignment w:val="auto"/>
        <w:rPr>
          <w:rFonts w:hint="eastAsia" w:ascii="宋体" w:hAnsi="宋体"/>
          <w:color w:val="000000"/>
          <w:sz w:val="28"/>
          <w:lang w:val="zh-CN"/>
        </w:rPr>
      </w:pPr>
      <w:r>
        <w:rPr>
          <w:rFonts w:hint="eastAsia" w:ascii="宋体" w:hAnsi="宋体"/>
          <w:color w:val="000000"/>
          <w:sz w:val="28"/>
          <w:lang w:val="zh-CN"/>
        </w:rPr>
        <w:t>托儿所、幼儿园的总平面设计应包括总平面布置、竖向设计和管网综合等设计。总平面布置应包括建筑物、室外活动场地、绿化、道路布置等内容，设计应功能分区合理、方便管理、朝向适宜、日照充足，创造符合幼儿生理、心理特点的环境空间。</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0" w:firstLineChars="0"/>
        <w:jc w:val="both"/>
        <w:textAlignment w:val="auto"/>
        <w:rPr>
          <w:rFonts w:hint="eastAsia" w:ascii="宋体" w:hAnsi="宋体"/>
          <w:color w:val="000000"/>
          <w:sz w:val="28"/>
          <w:lang w:val="zh-CN"/>
        </w:rPr>
      </w:pPr>
      <w:r>
        <w:rPr>
          <w:rFonts w:hint="eastAsia" w:ascii="宋体" w:hAnsi="宋体"/>
          <w:color w:val="000000"/>
          <w:sz w:val="28"/>
          <w:lang w:val="zh-CN"/>
        </w:rPr>
        <w:t>一、托儿所、幼儿园应设室外活动场地，并应符合下列规定：</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0" w:firstLineChars="0"/>
        <w:jc w:val="both"/>
        <w:textAlignment w:val="auto"/>
        <w:rPr>
          <w:rFonts w:hint="eastAsia" w:ascii="宋体" w:hAnsi="宋体"/>
          <w:color w:val="000000"/>
          <w:sz w:val="28"/>
          <w:lang w:val="zh-CN"/>
        </w:rPr>
      </w:pPr>
      <w:r>
        <w:rPr>
          <w:rFonts w:hint="eastAsia" w:ascii="Calibri" w:hAnsi="宋体"/>
          <w:color w:val="000000"/>
          <w:sz w:val="28"/>
          <w:lang w:val="zh-CN"/>
        </w:rPr>
        <w:t>1</w:t>
      </w:r>
      <w:r>
        <w:rPr>
          <w:rFonts w:hint="eastAsia" w:ascii="宋体" w:hAnsi="宋体"/>
          <w:color w:val="000000"/>
          <w:sz w:val="28"/>
          <w:lang w:val="zh-CN"/>
        </w:rPr>
        <w:t>、每班应设专用室外活活动场地，面积不宜小于60平方米，各班活动场地之间宜采取分隔措施；</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0" w:firstLineChars="0"/>
        <w:jc w:val="both"/>
        <w:textAlignment w:val="auto"/>
        <w:rPr>
          <w:rFonts w:hint="eastAsia" w:ascii="宋体" w:hAnsi="宋体"/>
          <w:color w:val="000000"/>
          <w:sz w:val="28"/>
          <w:lang w:val="zh-CN"/>
        </w:rPr>
      </w:pPr>
      <w:r>
        <w:rPr>
          <w:rFonts w:hint="eastAsia" w:ascii="Calibri" w:hAnsi="宋体"/>
          <w:color w:val="000000"/>
          <w:sz w:val="28"/>
          <w:lang w:val="zh-CN"/>
        </w:rPr>
        <w:t>2</w:t>
      </w:r>
      <w:r>
        <w:rPr>
          <w:rFonts w:hint="eastAsia" w:ascii="宋体" w:hAnsi="宋体"/>
          <w:color w:val="000000"/>
          <w:sz w:val="28"/>
          <w:lang w:val="zh-CN"/>
        </w:rPr>
        <w:t>、应设全园共用活动场地，人均面积不应小于2平方米；</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0" w:firstLineChars="0"/>
        <w:jc w:val="both"/>
        <w:textAlignment w:val="auto"/>
        <w:rPr>
          <w:rFonts w:hint="eastAsia" w:ascii="宋体" w:hAnsi="宋体"/>
          <w:color w:val="000000"/>
          <w:sz w:val="28"/>
          <w:lang w:val="zh-CN"/>
        </w:rPr>
      </w:pPr>
      <w:r>
        <w:rPr>
          <w:rFonts w:hint="eastAsia" w:ascii="Calibri" w:hAnsi="宋体"/>
          <w:color w:val="000000"/>
          <w:sz w:val="28"/>
          <w:lang w:val="zh-CN"/>
        </w:rPr>
        <w:t>3</w:t>
      </w:r>
      <w:r>
        <w:rPr>
          <w:rFonts w:hint="eastAsia" w:ascii="宋体" w:hAnsi="宋体"/>
          <w:color w:val="000000"/>
          <w:sz w:val="28"/>
          <w:lang w:val="zh-CN"/>
        </w:rPr>
        <w:t>、地面应平整、防滑、无障碍、无尖锐突出物，并宜采用软质地坪；</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0" w:firstLineChars="0"/>
        <w:jc w:val="both"/>
        <w:textAlignment w:val="auto"/>
        <w:rPr>
          <w:rFonts w:hint="eastAsia" w:ascii="宋体" w:hAnsi="宋体"/>
          <w:color w:val="000000"/>
          <w:sz w:val="28"/>
          <w:lang w:val="zh-CN"/>
        </w:rPr>
      </w:pPr>
      <w:r>
        <w:rPr>
          <w:rFonts w:hint="eastAsia" w:ascii="Calibri" w:hAnsi="宋体"/>
          <w:color w:val="000000"/>
          <w:sz w:val="28"/>
          <w:lang w:val="zh-CN"/>
        </w:rPr>
        <w:t>4</w:t>
      </w:r>
      <w:r>
        <w:rPr>
          <w:rFonts w:hint="eastAsia" w:ascii="宋体" w:hAnsi="宋体"/>
          <w:color w:val="000000"/>
          <w:sz w:val="28"/>
          <w:lang w:val="zh-CN"/>
        </w:rPr>
        <w:t>、共用活动场地应设置游戏器具、沙坑、30米跑道、洗手池等，宜设戏水池，储水深度不应超过0．30m；游戏器具下面及周围应设软质铺装；</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0" w:firstLineChars="0"/>
        <w:jc w:val="both"/>
        <w:textAlignment w:val="auto"/>
        <w:rPr>
          <w:rFonts w:hint="eastAsia" w:ascii="宋体" w:hAnsi="宋体"/>
          <w:color w:val="000000"/>
          <w:sz w:val="28"/>
          <w:lang w:val="zh-CN"/>
        </w:rPr>
      </w:pPr>
      <w:r>
        <w:rPr>
          <w:rFonts w:hint="eastAsia" w:ascii="Calibri" w:hAnsi="宋体"/>
          <w:color w:val="000000"/>
          <w:sz w:val="28"/>
          <w:lang w:val="zh-CN"/>
        </w:rPr>
        <w:t>5</w:t>
      </w:r>
      <w:r>
        <w:rPr>
          <w:rFonts w:hint="eastAsia" w:ascii="宋体" w:hAnsi="宋体"/>
          <w:color w:val="000000"/>
          <w:sz w:val="28"/>
          <w:lang w:val="zh-CN"/>
        </w:rPr>
        <w:t>、室外活动场地应有1／2以上的面积在标准建筑日照阴影线之外。</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0" w:firstLineChars="0"/>
        <w:jc w:val="both"/>
        <w:textAlignment w:val="auto"/>
        <w:rPr>
          <w:rFonts w:hint="eastAsia" w:ascii="宋体" w:hAnsi="宋体"/>
          <w:color w:val="000000"/>
          <w:sz w:val="28"/>
          <w:lang w:val="zh-CN"/>
        </w:rPr>
      </w:pPr>
      <w:r>
        <w:rPr>
          <w:rFonts w:hint="eastAsia" w:ascii="宋体" w:hAnsi="宋体"/>
          <w:color w:val="000000"/>
          <w:sz w:val="28"/>
          <w:lang w:val="zh-CN"/>
        </w:rPr>
        <w:t>托儿所、幼儿园场地内绿地率不应小于30％，宜设置集中绿化用地，绿地内不应种植有毒、带刺、有飞絮、病虫害多、有刺激性的植物。</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0" w:firstLineChars="0"/>
        <w:jc w:val="both"/>
        <w:textAlignment w:val="auto"/>
        <w:rPr>
          <w:rFonts w:hint="eastAsia" w:ascii="宋体" w:hAnsi="宋体"/>
          <w:color w:val="000000"/>
          <w:sz w:val="28"/>
          <w:lang w:val="zh-CN"/>
        </w:rPr>
      </w:pPr>
      <w:r>
        <w:rPr>
          <w:rFonts w:hint="eastAsia" w:ascii="宋体" w:hAnsi="宋体"/>
          <w:color w:val="000000"/>
          <w:sz w:val="28"/>
          <w:lang w:val="zh-CN"/>
        </w:rPr>
        <w:t>二、托儿所、幼儿园在供应区内宜设杂物院，并应与其他部分相隔离，杂物院应有单独的对外出入口。</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both"/>
        <w:textAlignment w:val="auto"/>
        <w:rPr>
          <w:rFonts w:hint="default" w:ascii="宋体" w:hAnsi="宋体"/>
          <w:color w:val="000000"/>
          <w:sz w:val="28"/>
          <w:lang w:val="en-US" w:eastAsia="zh-CN"/>
        </w:rPr>
      </w:pPr>
      <w:r>
        <w:rPr>
          <w:rFonts w:hint="eastAsia" w:ascii="宋体" w:hAnsi="宋体"/>
          <w:color w:val="000000"/>
          <w:sz w:val="28"/>
          <w:lang w:val="zh-CN" w:eastAsia="zh-CN"/>
        </w:rPr>
        <w:t>三、托儿所、幼儿园基地周围应设围护设施，围护设施应安全、美观，并应防止幼儿穿过和攀爬。在出入口处应设大门和警卫室，警卫室对外应有良好的视野。</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rFonts w:hint="eastAsia"/>
          <w:b/>
          <w:bCs/>
          <w:sz w:val="28"/>
          <w:szCs w:val="28"/>
          <w:lang w:val="en-US" w:eastAsia="zh-CN"/>
        </w:rPr>
      </w:pPr>
      <w:r>
        <w:rPr>
          <w:rFonts w:hint="eastAsia"/>
          <w:b/>
          <w:bCs/>
          <w:sz w:val="28"/>
          <w:szCs w:val="28"/>
          <w:lang w:val="en-US" w:eastAsia="zh-CN"/>
        </w:rPr>
        <w:t>智慧服务</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rPr>
          <w:rFonts w:hint="eastAsia"/>
          <w:sz w:val="28"/>
          <w:szCs w:val="28"/>
          <w:lang w:val="en-US" w:eastAsia="zh-CN"/>
        </w:rPr>
      </w:pPr>
      <w:r>
        <w:rPr>
          <w:rFonts w:hint="eastAsia"/>
          <w:sz w:val="28"/>
          <w:szCs w:val="28"/>
          <w:lang w:val="en-US" w:eastAsia="zh-CN"/>
        </w:rPr>
        <w:t>一、应用建筑信息模型（BIM）系统技术：</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rPr>
          <w:rFonts w:hint="eastAsia"/>
          <w:sz w:val="28"/>
          <w:szCs w:val="28"/>
          <w:lang w:val="en-US" w:eastAsia="zh-CN"/>
        </w:rPr>
      </w:pPr>
      <w:r>
        <w:rPr>
          <w:rFonts w:hint="eastAsia"/>
          <w:sz w:val="28"/>
          <w:szCs w:val="28"/>
          <w:lang w:val="en-US" w:eastAsia="zh-CN"/>
        </w:rPr>
        <w:t>1、具有家电控制、照明控制、设施遥控、安全报警、环境监测、暖通编程定时控制等至少 3 种类型的服务功能；</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rPr>
          <w:rFonts w:hint="eastAsia"/>
          <w:sz w:val="28"/>
          <w:szCs w:val="28"/>
          <w:lang w:val="en-US" w:eastAsia="zh-CN"/>
        </w:rPr>
      </w:pPr>
      <w:r>
        <w:rPr>
          <w:rFonts w:hint="eastAsia"/>
          <w:sz w:val="28"/>
          <w:szCs w:val="28"/>
          <w:lang w:val="en-US" w:eastAsia="zh-CN"/>
        </w:rPr>
        <w:t>2、智能化服务系统具有远程控制的功能；</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rPr>
          <w:rFonts w:hint="eastAsia"/>
          <w:sz w:val="28"/>
          <w:szCs w:val="28"/>
          <w:lang w:val="en-US" w:eastAsia="zh-CN"/>
        </w:rPr>
      </w:pPr>
      <w:r>
        <w:rPr>
          <w:rFonts w:hint="eastAsia"/>
          <w:sz w:val="28"/>
          <w:szCs w:val="28"/>
          <w:lang w:val="en-US" w:eastAsia="zh-CN"/>
        </w:rPr>
        <w:t>3、智能化服务系统具有接入智慧城市（城区、社区）的功能</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rPr>
          <w:rFonts w:hint="eastAsia"/>
          <w:sz w:val="28"/>
          <w:szCs w:val="28"/>
          <w:lang w:val="en-US" w:eastAsia="zh-CN"/>
        </w:rPr>
      </w:pPr>
      <w:r>
        <w:rPr>
          <w:rFonts w:hint="eastAsia"/>
          <w:sz w:val="28"/>
          <w:szCs w:val="28"/>
          <w:lang w:val="en-US" w:eastAsia="zh-CN"/>
        </w:rPr>
        <w:t>二、设置监测系统，具备记录建筑能耗和水耗，以及空气品质与水质的功能：</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rPr>
          <w:rFonts w:hint="eastAsia"/>
          <w:sz w:val="28"/>
          <w:szCs w:val="28"/>
          <w:lang w:val="en-US" w:eastAsia="zh-CN"/>
        </w:rPr>
      </w:pPr>
      <w:r>
        <w:rPr>
          <w:rFonts w:hint="eastAsia"/>
          <w:sz w:val="28"/>
          <w:szCs w:val="28"/>
          <w:lang w:val="en-US" w:eastAsia="zh-CN"/>
        </w:rPr>
        <w:t>1、设置能源管理系统，具有建筑能耗监测、数据分析和管理等功能；</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rPr>
          <w:rFonts w:hint="eastAsia"/>
          <w:sz w:val="28"/>
          <w:szCs w:val="28"/>
          <w:lang w:val="en-US" w:eastAsia="zh-CN"/>
        </w:rPr>
      </w:pPr>
      <w:r>
        <w:rPr>
          <w:rFonts w:hint="eastAsia"/>
          <w:sz w:val="28"/>
          <w:szCs w:val="28"/>
          <w:lang w:val="en-US" w:eastAsia="zh-CN"/>
        </w:rPr>
        <w:t>2、分类、分级设置用水量自动远传计量系统，具有记录、统计分析等功能；</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rPr>
          <w:rFonts w:hint="eastAsia"/>
          <w:sz w:val="28"/>
          <w:szCs w:val="28"/>
          <w:lang w:val="en-US" w:eastAsia="zh-CN"/>
        </w:rPr>
      </w:pPr>
      <w:r>
        <w:rPr>
          <w:rFonts w:hint="eastAsia"/>
          <w:sz w:val="28"/>
          <w:szCs w:val="28"/>
          <w:lang w:val="en-US" w:eastAsia="zh-CN"/>
        </w:rPr>
        <w:t>3、设置具有监测 PM2.5、CO2 等浓度功能的室内空气质量监测系统，且具有存储至少一年的监测数据和实时显示等功能；</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rPr>
          <w:rFonts w:hint="eastAsia"/>
          <w:sz w:val="28"/>
          <w:szCs w:val="28"/>
          <w:lang w:eastAsia="zh-CN"/>
        </w:rPr>
      </w:pPr>
      <w:r>
        <w:rPr>
          <w:rFonts w:hint="eastAsia"/>
          <w:sz w:val="28"/>
          <w:szCs w:val="28"/>
          <w:lang w:val="en-US" w:eastAsia="zh-CN"/>
        </w:rPr>
        <w:t>4、设置水质在线监测系统，监测生活饮用水、直饮水、游泳池水、非传统水源的浊度、余氯、pH 值、电导率（TDS）等水质指标。</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b/>
          <w:bCs/>
          <w:sz w:val="28"/>
          <w:szCs w:val="28"/>
          <w:lang w:eastAsia="zh-CN"/>
        </w:rPr>
      </w:pPr>
      <w:r>
        <w:rPr>
          <w:rFonts w:hint="eastAsia"/>
          <w:b/>
          <w:bCs/>
          <w:sz w:val="28"/>
          <w:szCs w:val="28"/>
          <w:lang w:eastAsia="zh-CN"/>
        </w:rPr>
        <w:t>环境宜居</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8"/>
          <w:szCs w:val="28"/>
          <w:lang w:eastAsia="zh-CN"/>
        </w:rPr>
      </w:pPr>
      <w:r>
        <w:rPr>
          <w:rFonts w:hint="eastAsia"/>
          <w:sz w:val="28"/>
          <w:szCs w:val="28"/>
          <w:lang w:eastAsia="zh-CN"/>
        </w:rPr>
        <w:t>一、现行行业标准《托儿所、幼儿园建筑设计规范》JGJ 39规定托儿所、幼儿园的幼儿生活用房应布置在当地最好朝向，冬至日底层满窗日照不少于 3h，温暖地区、炎热地区的生活用房应避免朝西，否则应设遮阳设施；</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both"/>
        <w:textAlignment w:val="auto"/>
        <w:rPr>
          <w:rFonts w:hint="eastAsia" w:ascii="宋体" w:hAnsi="宋体"/>
          <w:color w:val="000000"/>
          <w:sz w:val="28"/>
          <w:lang w:val="zh-CN"/>
        </w:rPr>
      </w:pPr>
      <w:r>
        <w:rPr>
          <w:rFonts w:hint="eastAsia" w:ascii="宋体" w:hAnsi="宋体"/>
          <w:color w:val="000000"/>
          <w:sz w:val="28"/>
          <w:lang w:val="zh-CN"/>
        </w:rPr>
        <w:t>二、具备条件的托儿所、幼儿园建筑的供暖系统宜纳入区域集中供热管网，具备利用可再生能源条件且经技术经济合理时，应优先利用可再生能源为供暖热源。当符合现行国家标准《民用建筑供暖通风与空气调节设计规范》GB 50736的规定时，可采用电供暖方式。采用低温地面辐射供暖方式时，地面表面温度不应超过28℃。</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both"/>
        <w:textAlignment w:val="auto"/>
        <w:rPr>
          <w:rFonts w:hint="eastAsia" w:ascii="宋体" w:hAnsi="宋体"/>
          <w:color w:val="000000"/>
          <w:sz w:val="28"/>
          <w:lang w:val="zh-CN"/>
        </w:rPr>
      </w:pPr>
      <w:r>
        <w:rPr>
          <w:rFonts w:hint="eastAsia" w:ascii="宋体" w:hAnsi="宋体"/>
          <w:color w:val="000000"/>
          <w:sz w:val="28"/>
          <w:lang w:val="zh-CN"/>
        </w:rPr>
        <w:t>三、托儿所、幼儿园建筑通风设计应符合下列规定：</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both"/>
        <w:textAlignment w:val="auto"/>
        <w:rPr>
          <w:rFonts w:hint="eastAsia" w:ascii="宋体" w:hAnsi="宋体"/>
          <w:color w:val="000000"/>
          <w:sz w:val="28"/>
          <w:lang w:val="zh-CN"/>
        </w:rPr>
      </w:pPr>
      <w:r>
        <w:rPr>
          <w:rFonts w:hint="eastAsia" w:ascii="Calibri" w:hAnsi="宋体"/>
          <w:color w:val="000000"/>
          <w:sz w:val="28"/>
          <w:lang w:val="zh-CN"/>
        </w:rPr>
        <w:t>1</w:t>
      </w:r>
      <w:r>
        <w:rPr>
          <w:rFonts w:hint="eastAsia" w:ascii="宋体" w:hAnsi="宋体"/>
          <w:color w:val="000000"/>
          <w:sz w:val="28"/>
          <w:lang w:val="zh-CN"/>
        </w:rPr>
        <w:t>、应优先采用有组织自然通风设施；</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both"/>
        <w:textAlignment w:val="auto"/>
        <w:rPr>
          <w:rFonts w:hint="eastAsia" w:ascii="宋体" w:hAnsi="宋体"/>
          <w:color w:val="000000"/>
          <w:sz w:val="28"/>
          <w:lang w:val="zh-CN"/>
        </w:rPr>
      </w:pPr>
      <w:r>
        <w:rPr>
          <w:rFonts w:hint="eastAsia" w:ascii="Calibri" w:hAnsi="宋体"/>
          <w:color w:val="000000"/>
          <w:sz w:val="28"/>
          <w:lang w:val="zh-CN"/>
        </w:rPr>
        <w:t>2</w:t>
      </w:r>
      <w:r>
        <w:rPr>
          <w:rFonts w:hint="eastAsia" w:ascii="宋体" w:hAnsi="宋体"/>
          <w:color w:val="000000"/>
          <w:sz w:val="28"/>
          <w:lang w:val="zh-CN"/>
        </w:rPr>
        <w:t>、当采用换气次数确定室内通风量时，房间的换气次数不应低于下表的规定：</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房间名称</w:t>
            </w:r>
          </w:p>
        </w:tc>
        <w:tc>
          <w:tcPr>
            <w:tcW w:w="4261" w:type="dxa"/>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换气次数（次</w:t>
            </w:r>
            <w:r>
              <w:rPr>
                <w:rFonts w:hint="eastAsia" w:ascii="宋体" w:hAnsi="宋体" w:eastAsia="宋体" w:cs="宋体"/>
                <w:sz w:val="28"/>
                <w:szCs w:val="28"/>
                <w:vertAlign w:val="baseline"/>
                <w:lang w:val="en-US" w:eastAsia="zh-CN"/>
              </w:rPr>
              <w:t>/h</w:t>
            </w:r>
            <w:r>
              <w:rPr>
                <w:rFonts w:hint="eastAsia" w:ascii="宋体" w:hAnsi="宋体" w:eastAsia="宋体" w:cs="宋体"/>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活动室</w:t>
            </w:r>
          </w:p>
        </w:tc>
        <w:tc>
          <w:tcPr>
            <w:tcW w:w="4261" w:type="dxa"/>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寝室</w:t>
            </w:r>
          </w:p>
        </w:tc>
        <w:tc>
          <w:tcPr>
            <w:tcW w:w="4261" w:type="dxa"/>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厕所</w:t>
            </w:r>
          </w:p>
        </w:tc>
        <w:tc>
          <w:tcPr>
            <w:tcW w:w="4261" w:type="dxa"/>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多功能活动室</w:t>
            </w:r>
          </w:p>
        </w:tc>
        <w:tc>
          <w:tcPr>
            <w:tcW w:w="4261" w:type="dxa"/>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w:t>
            </w:r>
          </w:p>
        </w:tc>
      </w:tr>
    </w:tbl>
    <w:p>
      <w:pPr>
        <w:keepNext w:val="0"/>
        <w:keepLines w:val="0"/>
        <w:pageBreakBefore w:val="0"/>
        <w:widowControl w:val="0"/>
        <w:kinsoku/>
        <w:wordWrap/>
        <w:overflowPunct/>
        <w:topLinePunct w:val="0"/>
        <w:autoSpaceDE/>
        <w:autoSpaceDN/>
        <w:bidi w:val="0"/>
        <w:adjustRightInd/>
        <w:snapToGrid/>
        <w:spacing w:beforeLines="0" w:afterLines="0" w:line="360" w:lineRule="auto"/>
        <w:jc w:val="both"/>
        <w:textAlignment w:val="auto"/>
        <w:rPr>
          <w:rFonts w:hint="eastAsia" w:ascii="宋体" w:hAnsi="宋体"/>
          <w:color w:val="000000"/>
          <w:sz w:val="28"/>
          <w:lang w:val="zh-CN"/>
        </w:rPr>
      </w:pPr>
      <w:r>
        <w:rPr>
          <w:rFonts w:hint="eastAsia" w:ascii="Calibri" w:hAnsi="宋体"/>
          <w:color w:val="000000"/>
          <w:sz w:val="28"/>
          <w:lang w:val="zh-CN"/>
        </w:rPr>
        <w:t>3</w:t>
      </w:r>
      <w:r>
        <w:rPr>
          <w:rFonts w:hint="eastAsia" w:ascii="宋体" w:hAnsi="宋体"/>
          <w:color w:val="000000"/>
          <w:sz w:val="28"/>
          <w:lang w:val="zh-CN"/>
        </w:rPr>
        <w:t>、采用机械通风或空调房间，人员所需新风量应不小于下表的规定：</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房间名称</w:t>
            </w:r>
          </w:p>
        </w:tc>
        <w:tc>
          <w:tcPr>
            <w:tcW w:w="4261" w:type="dxa"/>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新风量</w:t>
            </w:r>
            <w:r>
              <w:rPr>
                <w:rFonts w:hint="eastAsia" w:ascii="宋体" w:hAnsi="宋体" w:eastAsia="宋体" w:cs="宋体"/>
                <w:sz w:val="28"/>
                <w:szCs w:val="28"/>
                <w:vertAlign w:val="baseline"/>
                <w:lang w:val="en-US" w:eastAsia="zh-CN"/>
              </w:rPr>
              <w:t>[㎡/（h</w:t>
            </w:r>
            <w:r>
              <w:rPr>
                <w:rFonts w:hint="eastAsia" w:ascii="宋体" w:hAnsi="宋体" w:eastAsia="宋体" w:cs="宋体"/>
                <w:b w:val="0"/>
                <w:bCs w:val="0"/>
                <w:sz w:val="28"/>
                <w:szCs w:val="28"/>
                <w:vertAlign w:val="baseline"/>
                <w:lang w:val="en-US" w:eastAsia="zh-CN"/>
              </w:rPr>
              <w:t>•</w:t>
            </w:r>
            <w:r>
              <w:rPr>
                <w:rFonts w:hint="eastAsia" w:ascii="宋体" w:hAnsi="宋体" w:eastAsia="宋体" w:cs="宋体"/>
                <w:sz w:val="28"/>
                <w:szCs w:val="28"/>
                <w:vertAlign w:val="baseli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活动室</w:t>
            </w:r>
          </w:p>
        </w:tc>
        <w:tc>
          <w:tcPr>
            <w:tcW w:w="4261" w:type="dxa"/>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寝室</w:t>
            </w:r>
          </w:p>
        </w:tc>
        <w:tc>
          <w:tcPr>
            <w:tcW w:w="4261" w:type="dxa"/>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保健观察室</w:t>
            </w:r>
          </w:p>
        </w:tc>
        <w:tc>
          <w:tcPr>
            <w:tcW w:w="4261" w:type="dxa"/>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多功能活动室</w:t>
            </w:r>
          </w:p>
        </w:tc>
        <w:tc>
          <w:tcPr>
            <w:tcW w:w="4261" w:type="dxa"/>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20</w:t>
            </w:r>
          </w:p>
        </w:tc>
      </w:tr>
    </w:tbl>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0" w:afterAutospacing="0" w:line="360" w:lineRule="auto"/>
        <w:jc w:val="both"/>
        <w:textAlignment w:val="auto"/>
        <w:rPr>
          <w:rFonts w:hint="eastAsia"/>
          <w:sz w:val="28"/>
          <w:szCs w:val="28"/>
          <w:lang w:val="en-US" w:eastAsia="zh-CN"/>
        </w:rPr>
      </w:pPr>
      <w:r>
        <w:rPr>
          <w:rFonts w:hint="default"/>
          <w:sz w:val="28"/>
          <w:szCs w:val="28"/>
          <w:lang w:val="en-US" w:eastAsia="zh-CN"/>
        </w:rPr>
        <w:t>应对建筑室内空气中甲醛、苯系物、TVOC 进行浓度预评价，且室内空气质量应符合现行国家标准《室内空气质量标准》GB/T 18883 的规定</w:t>
      </w:r>
      <w:r>
        <w:rPr>
          <w:rFonts w:hint="eastAsia"/>
          <w:sz w:val="28"/>
          <w:szCs w:val="28"/>
          <w:lang w:val="en-US" w:eastAsia="zh-CN"/>
        </w:rPr>
        <w:t>；</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360" w:lineRule="auto"/>
        <w:jc w:val="both"/>
        <w:textAlignment w:val="auto"/>
        <w:rPr>
          <w:rFonts w:hint="eastAsia"/>
          <w:sz w:val="28"/>
          <w:szCs w:val="28"/>
          <w:lang w:eastAsia="zh-CN"/>
        </w:rPr>
      </w:pPr>
      <w:r>
        <w:rPr>
          <w:rFonts w:hint="eastAsia"/>
          <w:sz w:val="28"/>
          <w:szCs w:val="28"/>
          <w:lang w:eastAsia="zh-CN"/>
        </w:rPr>
        <w:t>五、</w:t>
      </w:r>
      <w:r>
        <w:rPr>
          <w:rFonts w:hint="eastAsia"/>
          <w:sz w:val="28"/>
          <w:szCs w:val="28"/>
        </w:rPr>
        <w:t>室内 PM2.5年均浓度不高于 25μg/m3，且室内 PM10年均浓度不高于 50μg/m3</w:t>
      </w:r>
      <w:r>
        <w:rPr>
          <w:rFonts w:hint="eastAsia"/>
          <w:sz w:val="28"/>
          <w:szCs w:val="28"/>
          <w:lang w:eastAsia="zh-CN"/>
        </w:rPr>
        <w:t>；</w:t>
      </w:r>
    </w:p>
    <w:p>
      <w:pPr>
        <w:keepNext w:val="0"/>
        <w:keepLines w:val="0"/>
        <w:pageBreakBefore w:val="0"/>
        <w:kinsoku/>
        <w:wordWrap/>
        <w:overflowPunct/>
        <w:topLinePunct w:val="0"/>
        <w:autoSpaceDE/>
        <w:autoSpaceDN/>
        <w:bidi w:val="0"/>
        <w:adjustRightInd/>
        <w:snapToGrid/>
        <w:spacing w:beforeAutospacing="0" w:afterAutospacing="0" w:line="360" w:lineRule="auto"/>
        <w:jc w:val="both"/>
        <w:textAlignment w:val="auto"/>
        <w:rPr>
          <w:rFonts w:hint="eastAsia"/>
          <w:b/>
          <w:bCs/>
          <w:sz w:val="28"/>
          <w:szCs w:val="28"/>
          <w:lang w:val="en-US" w:eastAsia="zh-CN"/>
        </w:rPr>
      </w:pPr>
      <w:r>
        <w:rPr>
          <w:rFonts w:hint="eastAsia"/>
          <w:sz w:val="28"/>
          <w:szCs w:val="28"/>
          <w:lang w:eastAsia="zh-CN"/>
        </w:rPr>
        <w:t>六、室内涂料、壁纸、陶瓷砖、人造板、木地板、防水与密封材料等装饰装修材料的有害物质限量符合绿色产品评价国家标准的规定。</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sz w:val="28"/>
          <w:szCs w:val="28"/>
          <w:lang w:val="en-US" w:eastAsia="zh-CN"/>
        </w:rPr>
      </w:pPr>
      <w:r>
        <w:rPr>
          <w:rFonts w:hint="eastAsia"/>
          <w:b/>
          <w:bCs/>
          <w:sz w:val="28"/>
          <w:szCs w:val="28"/>
          <w:lang w:val="en-US" w:eastAsia="zh-CN"/>
        </w:rPr>
        <w:t>资源节约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一、</w:t>
      </w:r>
      <w:r>
        <w:rPr>
          <w:rFonts w:hint="default"/>
          <w:sz w:val="28"/>
          <w:szCs w:val="28"/>
          <w:lang w:val="en-US" w:eastAsia="zh-CN"/>
        </w:rPr>
        <w:t>应结合场地自然条件，对建筑的体形、平面布局、朝向、围护结构热工性能、窗墙比等进行优化设计，且应符合国家有关节能设计的要求</w:t>
      </w:r>
      <w:r>
        <w:rPr>
          <w:rFonts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二、</w:t>
      </w:r>
      <w:r>
        <w:rPr>
          <w:rFonts w:hint="default"/>
          <w:sz w:val="28"/>
          <w:szCs w:val="28"/>
          <w:lang w:val="en-US" w:eastAsia="zh-CN"/>
        </w:rPr>
        <w:t>应区分房间的朝向，细分供暖、空调区域，应对系统进行分区控制，且空调冷源的部分负荷性能应符合现行国家标准《公共建筑节能设计标准》GB50189的规定</w:t>
      </w:r>
      <w:r>
        <w:rPr>
          <w:rFonts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三、</w:t>
      </w:r>
      <w:r>
        <w:rPr>
          <w:rFonts w:hint="default"/>
          <w:sz w:val="28"/>
          <w:szCs w:val="28"/>
          <w:lang w:val="en-US" w:eastAsia="zh-CN"/>
        </w:rPr>
        <w:t>主要功能房间的照明功率密度值应不高于现行国家标准《建筑照明设计标准》GB 50034规定的目标值；除主要功能房间外的其他房间的照明功率密度应不高于现行国家标准《建筑照明设计标准》GB50034 规定的现行值；公共区域的照明设备应实现分区、定时、感应等节能控制</w:t>
      </w:r>
      <w:r>
        <w:rPr>
          <w:rFonts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四、</w:t>
      </w:r>
      <w:r>
        <w:rPr>
          <w:rFonts w:hint="default"/>
          <w:sz w:val="28"/>
          <w:szCs w:val="28"/>
          <w:lang w:val="en-US" w:eastAsia="zh-CN"/>
        </w:rPr>
        <w:t>建筑围护结构节能率计算符合现行行业标准《民用建筑绿色性能计算标准》JGJ/T449的规定</w:t>
      </w:r>
      <w:r>
        <w:rPr>
          <w:rFonts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五、</w:t>
      </w:r>
      <w:r>
        <w:rPr>
          <w:rFonts w:hint="default"/>
          <w:sz w:val="28"/>
          <w:szCs w:val="28"/>
          <w:lang w:val="en-US" w:eastAsia="zh-CN"/>
        </w:rPr>
        <w:t>供暖空调系统的冷、热源机组能效均优于现行国家标准《公共建筑节能设计标准》GB 50189的规定以及现行有关国家标准能效限定值的要求</w:t>
      </w:r>
      <w:r>
        <w:rPr>
          <w:rFonts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8"/>
          <w:szCs w:val="28"/>
          <w:lang w:val="en-US" w:eastAsia="zh-CN"/>
        </w:rPr>
      </w:pPr>
      <w:r>
        <w:rPr>
          <w:rFonts w:hint="eastAsia"/>
          <w:sz w:val="28"/>
          <w:szCs w:val="28"/>
          <w:lang w:val="en-US" w:eastAsia="zh-CN"/>
        </w:rPr>
        <w:t>六、</w:t>
      </w:r>
      <w:r>
        <w:rPr>
          <w:rFonts w:hint="default"/>
          <w:sz w:val="28"/>
          <w:szCs w:val="28"/>
          <w:lang w:val="en-US" w:eastAsia="zh-CN"/>
        </w:rPr>
        <w:t>空调设备或系统采用节水冷却技术</w:t>
      </w:r>
      <w:r>
        <w:rPr>
          <w:rFonts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8"/>
          <w:szCs w:val="28"/>
          <w:lang w:val="en-US" w:eastAsia="zh-CN"/>
        </w:rPr>
      </w:pPr>
      <w:r>
        <w:rPr>
          <w:rFonts w:hint="default"/>
          <w:sz w:val="28"/>
          <w:szCs w:val="28"/>
          <w:lang w:val="en-US" w:eastAsia="zh-CN"/>
        </w:rPr>
        <w:t>1</w:t>
      </w:r>
      <w:r>
        <w:rPr>
          <w:rFonts w:hint="eastAsia"/>
          <w:sz w:val="28"/>
          <w:szCs w:val="28"/>
          <w:lang w:val="en-US" w:eastAsia="zh-CN"/>
        </w:rPr>
        <w:t>、</w:t>
      </w:r>
      <w:r>
        <w:rPr>
          <w:rFonts w:hint="default"/>
          <w:sz w:val="28"/>
          <w:szCs w:val="28"/>
          <w:lang w:val="en-US" w:eastAsia="zh-CN"/>
        </w:rPr>
        <w:t>循环冷却水系统设置水处理措施；采取加大集水盘、设置平衡管或平衡水箱的方式，避免冷却水泵停泵时冷却水溢出；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default"/>
          <w:sz w:val="28"/>
          <w:szCs w:val="28"/>
          <w:lang w:val="en-US" w:eastAsia="zh-CN"/>
        </w:rPr>
        <w:t>2</w:t>
      </w:r>
      <w:r>
        <w:rPr>
          <w:rFonts w:hint="eastAsia"/>
          <w:sz w:val="28"/>
          <w:szCs w:val="28"/>
          <w:lang w:val="en-US" w:eastAsia="zh-CN"/>
        </w:rPr>
        <w:t>、</w:t>
      </w:r>
      <w:r>
        <w:rPr>
          <w:rFonts w:hint="default"/>
          <w:sz w:val="28"/>
          <w:szCs w:val="28"/>
          <w:lang w:val="en-US" w:eastAsia="zh-CN"/>
        </w:rPr>
        <w:t>采用无蒸发耗水量的冷却技术</w:t>
      </w:r>
      <w:r>
        <w:rPr>
          <w:rFonts w:hint="eastAsia"/>
          <w:sz w:val="28"/>
          <w:szCs w:val="28"/>
          <w:lang w:val="en-US" w:eastAsia="zh-CN"/>
        </w:rPr>
        <w:t>。</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sz w:val="28"/>
          <w:szCs w:val="28"/>
          <w:lang w:val="en-US" w:eastAsia="zh-CN"/>
        </w:rPr>
      </w:pPr>
      <w:bookmarkStart w:id="0" w:name="_GoBack"/>
      <w:bookmarkEnd w:id="0"/>
      <w:r>
        <w:rPr>
          <w:rFonts w:hint="eastAsia"/>
          <w:b/>
          <w:bCs/>
          <w:sz w:val="28"/>
          <w:szCs w:val="28"/>
          <w:lang w:val="en-US" w:eastAsia="zh-CN"/>
        </w:rPr>
        <w:t>绿色建材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
          <w:bCs/>
          <w:sz w:val="28"/>
          <w:szCs w:val="28"/>
          <w:lang w:val="en-US" w:eastAsia="zh-CN"/>
        </w:rPr>
      </w:pPr>
      <w:r>
        <w:rPr>
          <w:rFonts w:hint="default"/>
          <w:sz w:val="28"/>
          <w:szCs w:val="28"/>
          <w:lang w:val="en-US" w:eastAsia="zh-CN"/>
        </w:rPr>
        <w:t>绿色建材是指在全生命周期内可减少对天然资源消耗和减轻对生态环境影响，具有“节能、减排、安全、便利和可循环”特征的建材产品，其不仅对建材本身的健康、环保、安全等属性有一定的要求，还要求原材料生产、加工等全生命周期的各个环节贯彻“绿色”意识并实施“绿色”技术。</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b/>
          <w:bCs/>
          <w:sz w:val="28"/>
          <w:szCs w:val="28"/>
          <w:lang w:val="en-US" w:eastAsia="zh-CN"/>
        </w:rPr>
      </w:pPr>
      <w:r>
        <w:rPr>
          <w:rFonts w:hint="eastAsia"/>
          <w:b/>
          <w:bCs/>
          <w:sz w:val="28"/>
          <w:szCs w:val="28"/>
          <w:lang w:val="en-US" w:eastAsia="zh-CN"/>
        </w:rPr>
        <w:t>技术创新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8"/>
          <w:szCs w:val="28"/>
          <w:lang w:val="en-US" w:eastAsia="zh-CN"/>
        </w:rPr>
      </w:pPr>
      <w:r>
        <w:rPr>
          <w:rFonts w:hint="eastAsia"/>
          <w:b w:val="0"/>
          <w:bCs w:val="0"/>
          <w:sz w:val="28"/>
          <w:szCs w:val="28"/>
          <w:lang w:val="en-US" w:eastAsia="zh-CN"/>
        </w:rPr>
        <w:t>一、</w:t>
      </w:r>
      <w:r>
        <w:rPr>
          <w:rFonts w:hint="default"/>
          <w:b w:val="0"/>
          <w:bCs w:val="0"/>
          <w:sz w:val="28"/>
          <w:szCs w:val="28"/>
          <w:lang w:val="en-US" w:eastAsia="zh-CN"/>
        </w:rPr>
        <w:t>工程项目施工周期内按照绿色施工的要求进行施工和管理，获得绿色施工优良等级或绿色施工示范工程认定</w:t>
      </w:r>
      <w:r>
        <w:rPr>
          <w:rFonts w:hint="eastAsia"/>
          <w:b w:val="0"/>
          <w:bCs w:val="0"/>
          <w:sz w:val="28"/>
          <w:szCs w:val="28"/>
          <w:lang w:val="en-US" w:eastAsia="zh-CN"/>
        </w:rPr>
        <w:t>。绿色施工工程是指在工程项目施工周期内严格进行过程管理，在保证质量、安全等基本要求的前提下，通过科学管理和技术进步，最大限度地节约资源（节材、节水、节能、节地）、保护环境和减少污染，实现环保、节约、可持续发展的施工工程。目前，我国国家标准层面发布实施了国家标准《建筑工程绿色施工规范》GB/T 50905、《建筑工程绿色施工评价标准》GB/T 50640，部分省市也发布实施了绿色施工相关的地方标准。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8"/>
          <w:szCs w:val="28"/>
          <w:lang w:val="en-US" w:eastAsia="zh-CN"/>
        </w:rPr>
      </w:pPr>
      <w:r>
        <w:rPr>
          <w:rFonts w:hint="eastAsia"/>
          <w:b w:val="0"/>
          <w:bCs w:val="0"/>
          <w:sz w:val="28"/>
          <w:szCs w:val="28"/>
          <w:lang w:val="en-US" w:eastAsia="zh-CN"/>
        </w:rPr>
        <w:t>二、</w:t>
      </w:r>
      <w:r>
        <w:rPr>
          <w:rFonts w:hint="default"/>
          <w:b w:val="0"/>
          <w:bCs w:val="0"/>
          <w:sz w:val="28"/>
          <w:szCs w:val="28"/>
          <w:lang w:val="en-US" w:eastAsia="zh-CN"/>
        </w:rPr>
        <w:t>采取节约能源资源、保护生态环境、保障安全健康的其他创新，并有明显效益</w:t>
      </w:r>
      <w:r>
        <w:rPr>
          <w:rFonts w:hint="eastAsia"/>
          <w:b w:val="0"/>
          <w:bCs w:val="0"/>
          <w:sz w:val="28"/>
          <w:szCs w:val="28"/>
          <w:lang w:val="en-US" w:eastAsia="zh-CN"/>
        </w:rPr>
        <w:t>。</w:t>
      </w:r>
    </w:p>
    <w:p>
      <w:pPr>
        <w:keepNext w:val="0"/>
        <w:keepLines w:val="0"/>
        <w:pageBreakBefore w:val="0"/>
        <w:kinsoku/>
        <w:wordWrap/>
        <w:overflowPunct/>
        <w:topLinePunct w:val="0"/>
        <w:autoSpaceDE/>
        <w:autoSpaceDN/>
        <w:bidi w:val="0"/>
        <w:adjustRightInd/>
        <w:snapToGrid/>
        <w:spacing w:beforeLines="0" w:afterLines="0" w:line="360" w:lineRule="auto"/>
        <w:jc w:val="left"/>
        <w:textAlignment w:val="auto"/>
        <w:rPr>
          <w:rFonts w:hint="eastAsia" w:ascii="宋体" w:hAnsi="宋体"/>
          <w:color w:val="000000"/>
          <w:sz w:val="28"/>
          <w:lang w:val="zh-CN"/>
        </w:rPr>
      </w:pPr>
    </w:p>
    <w:p>
      <w:pPr>
        <w:keepNext w:val="0"/>
        <w:keepLines w:val="0"/>
        <w:pageBreakBefore w:val="0"/>
        <w:kinsoku/>
        <w:wordWrap/>
        <w:overflowPunct/>
        <w:topLinePunct w:val="0"/>
        <w:autoSpaceDE/>
        <w:autoSpaceDN/>
        <w:bidi w:val="0"/>
        <w:adjustRightInd/>
        <w:snapToGrid/>
        <w:spacing w:beforeLines="0" w:afterLines="0" w:line="360" w:lineRule="auto"/>
        <w:jc w:val="left"/>
        <w:textAlignment w:val="auto"/>
        <w:rPr>
          <w:rFonts w:hint="eastAsia" w:ascii="宋体" w:hAnsi="宋体"/>
          <w:color w:val="000000"/>
          <w:sz w:val="28"/>
          <w:lang w:val="zh-CN"/>
        </w:rPr>
      </w:pPr>
    </w:p>
    <w:p>
      <w:pPr>
        <w:keepNext w:val="0"/>
        <w:keepLines w:val="0"/>
        <w:pageBreakBefore w:val="0"/>
        <w:kinsoku/>
        <w:wordWrap/>
        <w:overflowPunct/>
        <w:topLinePunct w:val="0"/>
        <w:autoSpaceDE/>
        <w:autoSpaceDN/>
        <w:bidi w:val="0"/>
        <w:adjustRightInd/>
        <w:snapToGrid/>
        <w:spacing w:beforeLines="0" w:afterLines="0" w:line="360" w:lineRule="auto"/>
        <w:ind w:left="200"/>
        <w:jc w:val="left"/>
        <w:textAlignment w:val="auto"/>
        <w:rPr>
          <w:rFonts w:hint="eastAsia" w:ascii="宋体" w:hAnsi="宋体"/>
          <w:color w:val="000000"/>
          <w:sz w:val="28"/>
          <w:lang w:val="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b w:val="0"/>
          <w:bCs w:val="0"/>
          <w:sz w:val="28"/>
          <w:szCs w:val="28"/>
          <w:lang w:val="en-US" w:eastAsia="zh-CN"/>
        </w:rPr>
      </w:pP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p>
    <w:p>
      <w:pPr>
        <w:keepNext w:val="0"/>
        <w:keepLines w:val="0"/>
        <w:pageBreakBefore w:val="0"/>
        <w:kinsoku/>
        <w:wordWrap/>
        <w:overflowPunct/>
        <w:topLinePunct w:val="0"/>
        <w:autoSpaceDE/>
        <w:autoSpaceDN/>
        <w:bidi w:val="0"/>
        <w:adjustRightInd/>
        <w:snapToGrid/>
        <w:spacing w:line="360" w:lineRule="auto"/>
        <w:textAlignment w:val="auto"/>
        <w:rPr>
          <w:szCs w:val="28"/>
        </w:rPr>
      </w:pPr>
    </w:p>
    <w:sectPr>
      <w:headerReference r:id="rId3" w:type="default"/>
      <w:footerReference r:id="rId4" w:type="default"/>
      <w:pgSz w:w="11906" w:h="16838"/>
      <w:pgMar w:top="1440" w:right="1803" w:bottom="1440" w:left="1803" w:header="1191" w:footer="56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10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843"/>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2376" w:type="dxa"/>
          <w:vMerge w:val="restart"/>
          <w:tcBorders>
            <w:top w:val="nil"/>
            <w:left w:val="nil"/>
            <w:bottom w:val="nil"/>
            <w:right w:val="nil"/>
          </w:tcBorders>
          <w:vAlign w:val="center"/>
        </w:tcPr>
        <w:p>
          <w:pPr>
            <w:pStyle w:val="3"/>
            <w:jc w:val="both"/>
            <w:rPr>
              <w:color w:val="0061B0"/>
            </w:rPr>
          </w:pPr>
          <w:r>
            <w:rPr>
              <w:rFonts w:hint="eastAsia"/>
              <w:color w:val="0061B0"/>
            </w:rPr>
            <w:drawing>
              <wp:anchor distT="0" distB="0" distL="114935" distR="114935" simplePos="0" relativeHeight="251665408" behindDoc="1" locked="0" layoutInCell="1" allowOverlap="1">
                <wp:simplePos x="0" y="0"/>
                <wp:positionH relativeFrom="column">
                  <wp:posOffset>-1131570</wp:posOffset>
                </wp:positionH>
                <wp:positionV relativeFrom="paragraph">
                  <wp:posOffset>-31115</wp:posOffset>
                </wp:positionV>
                <wp:extent cx="8226425" cy="433070"/>
                <wp:effectExtent l="0" t="0" r="3175" b="1143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6425" cy="433070"/>
                        </a:xfrm>
                        <a:prstGeom prst="rect">
                          <a:avLst/>
                        </a:prstGeom>
                      </pic:spPr>
                    </pic:pic>
                  </a:graphicData>
                </a:graphic>
              </wp:anchor>
            </w:drawing>
          </w:r>
        </w:p>
      </w:tc>
      <w:tc>
        <w:tcPr>
          <w:tcW w:w="8222" w:type="dxa"/>
          <w:gridSpan w:val="2"/>
          <w:tcBorders>
            <w:top w:val="nil"/>
            <w:left w:val="nil"/>
            <w:bottom w:val="nil"/>
            <w:right w:val="nil"/>
          </w:tcBorders>
        </w:tcPr>
        <w:p>
          <w:pPr>
            <w:pStyle w:val="3"/>
            <w:spacing w:line="160" w:lineRule="atLeast"/>
          </w:pPr>
          <w:r>
            <w:rPr>
              <w:rFonts w:hint="eastAsia" w:ascii="微软雅黑" w:hAnsi="微软雅黑" w:eastAsia="微软雅黑" w:cs="微软雅黑"/>
              <w:color w:val="FFFFFF" w:themeColor="background1"/>
              <w:sz w:val="16"/>
              <w:szCs w:val="16"/>
              <w14:textFill>
                <w14:solidFill>
                  <w14:schemeClr w14:val="bg1"/>
                </w14:solidFill>
              </w14:textFill>
            </w:rPr>
            <w:t>保定市高新区恒源西路56号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trPr>
      <w:tc>
        <w:tcPr>
          <w:tcW w:w="2376" w:type="dxa"/>
          <w:vMerge w:val="continue"/>
          <w:tcBorders>
            <w:top w:val="nil"/>
            <w:left w:val="nil"/>
            <w:bottom w:val="nil"/>
            <w:right w:val="nil"/>
          </w:tcBorders>
        </w:tcPr>
        <w:p>
          <w:pPr>
            <w:pStyle w:val="3"/>
          </w:pPr>
        </w:p>
      </w:tc>
      <w:tc>
        <w:tcPr>
          <w:tcW w:w="1843" w:type="dxa"/>
          <w:tcBorders>
            <w:top w:val="nil"/>
            <w:left w:val="nil"/>
            <w:bottom w:val="nil"/>
            <w:right w:val="nil"/>
          </w:tcBorders>
        </w:tcPr>
        <w:p>
          <w:pPr>
            <w:pStyle w:val="3"/>
            <w:spacing w:line="160" w:lineRule="atLeast"/>
            <w:rPr>
              <w:rFonts w:ascii="微软雅黑" w:hAnsi="微软雅黑" w:eastAsia="微软雅黑" w:cs="微软雅黑"/>
              <w:sz w:val="16"/>
              <w:szCs w:val="16"/>
            </w:rPr>
          </w:pPr>
          <w:r>
            <w:rPr>
              <w:rFonts w:hint="eastAsia" w:ascii="微软雅黑" w:hAnsi="微软雅黑" w:eastAsia="微软雅黑" w:cs="微软雅黑"/>
              <w:color w:val="FFFFFF" w:themeColor="background1"/>
              <w:sz w:val="16"/>
              <w:szCs w:val="16"/>
              <w14:textFill>
                <w14:solidFill>
                  <w14:schemeClr w14:val="bg1"/>
                </w14:solidFill>
              </w14:textFill>
            </w:rPr>
            <w:t>Tel: 0312-8631657</w:t>
          </w:r>
        </w:p>
      </w:tc>
      <w:tc>
        <w:tcPr>
          <w:tcW w:w="6379" w:type="dxa"/>
          <w:tcBorders>
            <w:top w:val="nil"/>
            <w:left w:val="nil"/>
            <w:bottom w:val="nil"/>
            <w:right w:val="nil"/>
          </w:tcBorders>
        </w:tcPr>
        <w:p>
          <w:pPr>
            <w:pStyle w:val="3"/>
            <w:spacing w:line="160" w:lineRule="atLeast"/>
            <w:rPr>
              <w:rFonts w:ascii="微软雅黑" w:hAnsi="微软雅黑" w:eastAsia="微软雅黑" w:cs="微软雅黑"/>
              <w:sz w:val="16"/>
              <w:szCs w:val="16"/>
            </w:rPr>
          </w:pPr>
          <w:r>
            <w:rPr>
              <w:rFonts w:hint="eastAsia" w:ascii="微软雅黑" w:hAnsi="微软雅黑" w:eastAsia="微软雅黑" w:cs="微软雅黑"/>
              <w:color w:val="FFFFFF" w:themeColor="background1"/>
              <w:sz w:val="16"/>
              <w:szCs w:val="16"/>
              <w14:textFill>
                <w14:solidFill>
                  <w14:schemeClr w14:val="bg1"/>
                </w14:solidFill>
              </w14:textFill>
            </w:rPr>
            <w:t>Fax: 0312 8631900</w:t>
          </w:r>
        </w:p>
      </w:tc>
    </w:tr>
  </w:tbl>
  <w:p>
    <w:pPr>
      <w:pStyle w:val="3"/>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200" w:lineRule="exact"/>
      <w:ind w:firstLine="6453" w:firstLineChars="4300"/>
      <w:jc w:val="left"/>
      <w:rPr>
        <w:rFonts w:ascii="微软雅黑" w:hAnsi="微软雅黑" w:eastAsia="微软雅黑"/>
        <w:b/>
        <w:color w:val="404040" w:themeColor="text1" w:themeTint="BF"/>
        <w:sz w:val="15"/>
        <w:szCs w:val="15"/>
        <w14:textFill>
          <w14:solidFill>
            <w14:schemeClr w14:val="tx1">
              <w14:lumMod w14:val="75000"/>
              <w14:lumOff w14:val="25000"/>
            </w14:schemeClr>
          </w14:solidFill>
        </w14:textFill>
      </w:rPr>
    </w:pPr>
    <w:r>
      <w:rPr>
        <w:rFonts w:ascii="微软雅黑" w:hAnsi="微软雅黑" w:eastAsia="微软雅黑"/>
        <w:b/>
        <w:color w:val="404040" w:themeColor="text1" w:themeTint="BF"/>
        <w:sz w:val="15"/>
        <w:szCs w:val="15"/>
        <w14:textFill>
          <w14:solidFill>
            <w14:schemeClr w14:val="tx1">
              <w14:lumMod w14:val="75000"/>
              <w14:lumOff w14:val="25000"/>
            </w14:schemeClr>
          </w14:solidFill>
        </w14:textFill>
      </w:rPr>
      <w:drawing>
        <wp:anchor distT="0" distB="0" distL="114300" distR="114300" simplePos="0" relativeHeight="251661312" behindDoc="1" locked="0" layoutInCell="1" allowOverlap="1">
          <wp:simplePos x="0" y="0"/>
          <wp:positionH relativeFrom="column">
            <wp:posOffset>3246120</wp:posOffset>
          </wp:positionH>
          <wp:positionV relativeFrom="paragraph">
            <wp:posOffset>-154305</wp:posOffset>
          </wp:positionV>
          <wp:extent cx="2021840" cy="307340"/>
          <wp:effectExtent l="0" t="0" r="10160" b="10160"/>
          <wp:wrapNone/>
          <wp:docPr id="10" name="图片 10" descr="C:\Users\PC\Desktop\零碳 横logo.png零碳 横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PC\Desktop\零碳 横logo.png零碳 横logo"/>
                  <pic:cNvPicPr>
                    <a:picLocks noChangeAspect="1"/>
                  </pic:cNvPicPr>
                </pic:nvPicPr>
                <pic:blipFill>
                  <a:blip r:embed="rId1"/>
                  <a:srcRect/>
                  <a:stretch>
                    <a:fillRect/>
                  </a:stretch>
                </pic:blipFill>
                <pic:spPr>
                  <a:xfrm>
                    <a:off x="0" y="0"/>
                    <a:ext cx="2021840" cy="30734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B54026"/>
    <w:multiLevelType w:val="singleLevel"/>
    <w:tmpl w:val="87B5402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AF"/>
    <w:rsid w:val="000264E2"/>
    <w:rsid w:val="00062DE7"/>
    <w:rsid w:val="000B02C5"/>
    <w:rsid w:val="000B3838"/>
    <w:rsid w:val="000C1AAA"/>
    <w:rsid w:val="000D063D"/>
    <w:rsid w:val="00102051"/>
    <w:rsid w:val="00136472"/>
    <w:rsid w:val="00145828"/>
    <w:rsid w:val="00166ADB"/>
    <w:rsid w:val="001766D4"/>
    <w:rsid w:val="001C391F"/>
    <w:rsid w:val="001F3D40"/>
    <w:rsid w:val="00212626"/>
    <w:rsid w:val="0028558E"/>
    <w:rsid w:val="002860EA"/>
    <w:rsid w:val="00323A2C"/>
    <w:rsid w:val="00333F1A"/>
    <w:rsid w:val="0034754C"/>
    <w:rsid w:val="00352CE3"/>
    <w:rsid w:val="00360CAE"/>
    <w:rsid w:val="00400830"/>
    <w:rsid w:val="004142EA"/>
    <w:rsid w:val="004812C2"/>
    <w:rsid w:val="005351C5"/>
    <w:rsid w:val="00541F94"/>
    <w:rsid w:val="00594108"/>
    <w:rsid w:val="005948B1"/>
    <w:rsid w:val="005B19B8"/>
    <w:rsid w:val="00662E52"/>
    <w:rsid w:val="006671CF"/>
    <w:rsid w:val="006A6A87"/>
    <w:rsid w:val="006C3D59"/>
    <w:rsid w:val="00700701"/>
    <w:rsid w:val="00744C98"/>
    <w:rsid w:val="007652F7"/>
    <w:rsid w:val="007767E0"/>
    <w:rsid w:val="007808C8"/>
    <w:rsid w:val="00790566"/>
    <w:rsid w:val="00795DBD"/>
    <w:rsid w:val="007979DF"/>
    <w:rsid w:val="007A5028"/>
    <w:rsid w:val="007E09DB"/>
    <w:rsid w:val="00801E85"/>
    <w:rsid w:val="0080529F"/>
    <w:rsid w:val="008725EB"/>
    <w:rsid w:val="008A11D1"/>
    <w:rsid w:val="008C003F"/>
    <w:rsid w:val="00942026"/>
    <w:rsid w:val="009517EF"/>
    <w:rsid w:val="009913AF"/>
    <w:rsid w:val="009F327D"/>
    <w:rsid w:val="00A623DC"/>
    <w:rsid w:val="00A80BC8"/>
    <w:rsid w:val="00A8283F"/>
    <w:rsid w:val="00A82E47"/>
    <w:rsid w:val="00A833F3"/>
    <w:rsid w:val="00B04F5F"/>
    <w:rsid w:val="00B52F5C"/>
    <w:rsid w:val="00B677A2"/>
    <w:rsid w:val="00BB3EC9"/>
    <w:rsid w:val="00C21923"/>
    <w:rsid w:val="00C80A49"/>
    <w:rsid w:val="00C966E8"/>
    <w:rsid w:val="00CA5A5D"/>
    <w:rsid w:val="00D71A91"/>
    <w:rsid w:val="00D854EF"/>
    <w:rsid w:val="00D93E3B"/>
    <w:rsid w:val="00DF3BBD"/>
    <w:rsid w:val="00E9567D"/>
    <w:rsid w:val="00EC5F3B"/>
    <w:rsid w:val="00F46B34"/>
    <w:rsid w:val="00F64134"/>
    <w:rsid w:val="00F86E6B"/>
    <w:rsid w:val="00F96455"/>
    <w:rsid w:val="00FA64D3"/>
    <w:rsid w:val="00FF0741"/>
    <w:rsid w:val="01C0296E"/>
    <w:rsid w:val="02C65CD4"/>
    <w:rsid w:val="032D12A0"/>
    <w:rsid w:val="045E450A"/>
    <w:rsid w:val="0C38350F"/>
    <w:rsid w:val="0CCB68BA"/>
    <w:rsid w:val="0D1712F8"/>
    <w:rsid w:val="0D8D2B12"/>
    <w:rsid w:val="0E092891"/>
    <w:rsid w:val="103A7FDC"/>
    <w:rsid w:val="124D3A00"/>
    <w:rsid w:val="12F21564"/>
    <w:rsid w:val="14781575"/>
    <w:rsid w:val="1507544D"/>
    <w:rsid w:val="15526990"/>
    <w:rsid w:val="156114AC"/>
    <w:rsid w:val="189D163B"/>
    <w:rsid w:val="1A7A04F4"/>
    <w:rsid w:val="1AB2111C"/>
    <w:rsid w:val="1CE2526C"/>
    <w:rsid w:val="1CE9696E"/>
    <w:rsid w:val="1D341925"/>
    <w:rsid w:val="225E290D"/>
    <w:rsid w:val="241B5877"/>
    <w:rsid w:val="26997553"/>
    <w:rsid w:val="2B7C6910"/>
    <w:rsid w:val="2BDD328A"/>
    <w:rsid w:val="2D5132D4"/>
    <w:rsid w:val="2E3E2353"/>
    <w:rsid w:val="2E8A58E0"/>
    <w:rsid w:val="2EBA22E2"/>
    <w:rsid w:val="2EE828F9"/>
    <w:rsid w:val="2F123F80"/>
    <w:rsid w:val="2F8C0EEA"/>
    <w:rsid w:val="3183084D"/>
    <w:rsid w:val="32A7324D"/>
    <w:rsid w:val="32DA4DBF"/>
    <w:rsid w:val="32F83575"/>
    <w:rsid w:val="34E2293B"/>
    <w:rsid w:val="357055B1"/>
    <w:rsid w:val="37617E47"/>
    <w:rsid w:val="388964C9"/>
    <w:rsid w:val="3A9D2208"/>
    <w:rsid w:val="3BD43751"/>
    <w:rsid w:val="3CFE16FC"/>
    <w:rsid w:val="3EE67215"/>
    <w:rsid w:val="3FBE5BD1"/>
    <w:rsid w:val="4119450A"/>
    <w:rsid w:val="415A5205"/>
    <w:rsid w:val="41AC63F5"/>
    <w:rsid w:val="44CC6046"/>
    <w:rsid w:val="45641B0F"/>
    <w:rsid w:val="47107B3F"/>
    <w:rsid w:val="471A26F7"/>
    <w:rsid w:val="48797768"/>
    <w:rsid w:val="49211529"/>
    <w:rsid w:val="4B396249"/>
    <w:rsid w:val="4B7C4B52"/>
    <w:rsid w:val="4F583555"/>
    <w:rsid w:val="50292847"/>
    <w:rsid w:val="53C26D5F"/>
    <w:rsid w:val="54562945"/>
    <w:rsid w:val="56F00D1B"/>
    <w:rsid w:val="57DF753F"/>
    <w:rsid w:val="58DA52C8"/>
    <w:rsid w:val="59203ECE"/>
    <w:rsid w:val="5A5C24E4"/>
    <w:rsid w:val="5ABC2932"/>
    <w:rsid w:val="5BFA36C2"/>
    <w:rsid w:val="5DC72DAF"/>
    <w:rsid w:val="5F9F549D"/>
    <w:rsid w:val="5FED1DA1"/>
    <w:rsid w:val="62252B25"/>
    <w:rsid w:val="62B94768"/>
    <w:rsid w:val="62FB2B93"/>
    <w:rsid w:val="631070A0"/>
    <w:rsid w:val="63DE1E43"/>
    <w:rsid w:val="64195B67"/>
    <w:rsid w:val="6463422F"/>
    <w:rsid w:val="684D1D00"/>
    <w:rsid w:val="6A586EF3"/>
    <w:rsid w:val="6C090A3C"/>
    <w:rsid w:val="6CAE1FA3"/>
    <w:rsid w:val="70FB19BC"/>
    <w:rsid w:val="71C53E2A"/>
    <w:rsid w:val="7395058A"/>
    <w:rsid w:val="74BC5343"/>
    <w:rsid w:val="75E17A65"/>
    <w:rsid w:val="76860365"/>
    <w:rsid w:val="77414EDE"/>
    <w:rsid w:val="779204E8"/>
    <w:rsid w:val="77E21143"/>
    <w:rsid w:val="78A5360E"/>
    <w:rsid w:val="78ED5309"/>
    <w:rsid w:val="7A105CB4"/>
    <w:rsid w:val="7CA43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rFonts w:cs="Times New Roman"/>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FollowedHyperlink"/>
    <w:basedOn w:val="8"/>
    <w:unhideWhenUsed/>
    <w:qFormat/>
    <w:uiPriority w:val="99"/>
    <w:rPr>
      <w:color w:val="333333"/>
      <w:u w:val="none"/>
    </w:rPr>
  </w:style>
  <w:style w:type="character" w:styleId="10">
    <w:name w:val="Emphasis"/>
    <w:basedOn w:val="8"/>
    <w:qFormat/>
    <w:uiPriority w:val="20"/>
  </w:style>
  <w:style w:type="character" w:styleId="11">
    <w:name w:val="Hyperlink"/>
    <w:basedOn w:val="8"/>
    <w:unhideWhenUsed/>
    <w:qFormat/>
    <w:uiPriority w:val="99"/>
    <w:rPr>
      <w:color w:val="0000FF"/>
      <w:u w:val="single"/>
    </w:rPr>
  </w:style>
  <w:style w:type="character" w:customStyle="1" w:styleId="12">
    <w:name w:val="页眉 Char"/>
    <w:basedOn w:val="8"/>
    <w:link w:val="4"/>
    <w:qFormat/>
    <w:uiPriority w:val="99"/>
    <w:rPr>
      <w:sz w:val="18"/>
      <w:szCs w:val="18"/>
    </w:rPr>
  </w:style>
  <w:style w:type="character" w:customStyle="1" w:styleId="13">
    <w:name w:val="页脚 Char"/>
    <w:basedOn w:val="8"/>
    <w:link w:val="3"/>
    <w:qFormat/>
    <w:uiPriority w:val="99"/>
    <w:rPr>
      <w:sz w:val="18"/>
      <w:szCs w:val="18"/>
    </w:rPr>
  </w:style>
  <w:style w:type="character" w:customStyle="1" w:styleId="14">
    <w:name w:val="批注框文本 Char"/>
    <w:basedOn w:val="8"/>
    <w:link w:val="2"/>
    <w:semiHidden/>
    <w:qFormat/>
    <w:uiPriority w:val="99"/>
    <w:rPr>
      <w:sz w:val="18"/>
      <w:szCs w:val="18"/>
    </w:rPr>
  </w:style>
  <w:style w:type="paragraph" w:customStyle="1" w:styleId="15">
    <w:name w:val="列出段落1"/>
    <w:basedOn w:val="1"/>
    <w:qFormat/>
    <w:uiPriority w:val="34"/>
    <w:pPr>
      <w:ind w:firstLine="420" w:firstLineChars="200"/>
    </w:p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ED57F9-CE38-4BAE-A589-4A23576563C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301</Words>
  <Characters>1722</Characters>
  <Lines>14</Lines>
  <Paragraphs>4</Paragraphs>
  <TotalTime>12</TotalTime>
  <ScaleCrop>false</ScaleCrop>
  <LinksUpToDate>false</LinksUpToDate>
  <CharactersWithSpaces>2019</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2017-04-07T05:54:00Z</dcterms:created>
  <dc:creator>AutoBVT</dc:creator>
  <cp:lastModifiedBy>Administrator</cp:lastModifiedBy>
  <dcterms:modified xsi:type="dcterms:W3CDTF">2019-05-10T11:00:01Z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