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0" w:firstLineChars="0"/>
        <w:jc w:val="center"/>
        <w:textAlignment w:val="auto"/>
        <w:outlineLvl w:val="9"/>
        <w:rPr>
          <w:rFonts w:hint="eastAsia" w:ascii="黑体" w:hAnsi="黑体" w:eastAsia="黑体" w:cs="黑体"/>
          <w:b w:val="0"/>
          <w:i w:val="0"/>
          <w:caps w:val="0"/>
          <w:color w:val="auto"/>
          <w:spacing w:val="0"/>
          <w:sz w:val="44"/>
          <w:szCs w:val="44"/>
          <w:shd w:val="clear" w:fill="FFFFFF"/>
        </w:rPr>
      </w:pPr>
      <w:r>
        <w:rPr>
          <w:rFonts w:hint="eastAsia" w:ascii="黑体" w:hAnsi="黑体" w:eastAsia="黑体" w:cs="黑体"/>
          <w:b w:val="0"/>
          <w:i w:val="0"/>
          <w:caps w:val="0"/>
          <w:color w:val="auto"/>
          <w:spacing w:val="0"/>
          <w:sz w:val="44"/>
          <w:szCs w:val="44"/>
          <w:shd w:val="clear" w:fill="FFFFFF"/>
        </w:rPr>
        <w:t>京都议定书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本议定书各缔约方，作为《</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"http://baike.baidu.com/item/%E8%81%94%E5%90%88%E5%9B%BD%E6%B0%94%E5%80%99%E5%8F%98%E5%8C%96%E6%A1%86%E6%9E%B6%E5%85%AC%E7%BA%A6"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联合国气候变化框架公约</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以下简称《公约》）缔约方，为实现《公约》第二条所述的最终目标，以及《公约》的各项规定，在《公约》第三条的指导下，按照《公约》缔约方会议第一届会议在第1/CP．1号决定中通过的“柏林授权”，兹协议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0" w:name="5_1"/>
      <w:bookmarkEnd w:id="0"/>
      <w:bookmarkStart w:id="1" w:name="sub41423_5_1"/>
      <w:bookmarkEnd w:id="1"/>
      <w:bookmarkStart w:id="2" w:name="第一条"/>
      <w:bookmarkEnd w:id="2"/>
      <w:r>
        <w:rPr>
          <w:rFonts w:hint="eastAsia" w:ascii="仿宋_GB2312" w:hAnsi="仿宋_GB2312" w:eastAsia="仿宋_GB2312" w:cs="仿宋_GB2312"/>
          <w:i w:val="0"/>
          <w:caps w:val="0"/>
          <w:color w:val="auto"/>
          <w:spacing w:val="0"/>
          <w:sz w:val="30"/>
          <w:szCs w:val="30"/>
          <w:shd w:val="clear" w:fill="FFFFFF"/>
        </w:rPr>
        <w:t>第一条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为本议定书的目的，《公约》第一条所载定义应予适用。此外：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1．“缔约方会议”指《公约》缔约方会议。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2．“公约”指1992年5月9日在纽约通过的《联合国气候变化框架公约》。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3．“政府间气候变化专门委员会”指</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"http://baike.baidu.com/item/%E4%B8%96%E7%95%8C%E6%B0%94%E8%B1%A1%E7%BB%84%E7%BB%87"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世界气象组织</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和联合国环境规划署1988年联合设立的政府之间气候变化专门委员会。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"http://baike.baidu.com/item/%E8%92%99%E7%89%B9%E5%88%A9%E5%B0%94"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蒙特利尔</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议定书”指1987年9月16日在蒙特利尔通过、后经调整和修正的《关于消耗臭氧层物质的蒙特利尔议定书》。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5．“出席并参加表决的缔约方”指出席会议并投赞成票或反对票的缔约方。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"http://baike.baidu.com/item/%E7%BC%94%E7%BA%A6%E6%96%B9"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缔约方</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”指本议定书缔约方，除非文中另有说明。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7．“附件一所列缔约方”指《公约》附件一所列缔约方，包括可能作出的修正，或指根据《公约》第四条第2款（g）项作出通知的缔约方。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3" w:name="5_2"/>
      <w:bookmarkEnd w:id="3"/>
      <w:bookmarkStart w:id="4" w:name="sub41423_5_2"/>
      <w:bookmarkEnd w:id="4"/>
      <w:bookmarkStart w:id="5" w:name="第二条"/>
      <w:bookmarkEnd w:id="5"/>
      <w:r>
        <w:rPr>
          <w:rFonts w:hint="eastAsia" w:ascii="仿宋_GB2312" w:hAnsi="仿宋_GB2312" w:eastAsia="仿宋_GB2312" w:cs="仿宋_GB2312"/>
          <w:i w:val="0"/>
          <w:caps w:val="0"/>
          <w:color w:val="auto"/>
          <w:spacing w:val="0"/>
          <w:sz w:val="30"/>
          <w:szCs w:val="30"/>
          <w:shd w:val="clear" w:fill="FFFFFF"/>
        </w:rPr>
        <w:t>第二条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1．附件一所列每一缔约方，在实现第三条所述关于其量化的限制和减少排放的承诺时，为促进可持续发展，应：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（a）根据本国情况执行和/或进一步制订政策和措施，诸如：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（一）增强本国经济有关部门的能源效率；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（二）保护和增强《</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"http://baike.baidu.com/item/%E8%92%99%E7%89%B9%E5%88%A9%E5%B0%94%E8%AE%AE%E5%AE%9A%E4%B9%A6"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蒙特利尔议定书</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》未予管制的温室气体的汇和库，同时考虑到其依有关的国际环境协议作出的承诺；促进可持续森林管理的做法、造林和再造林；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（三）在考虑到气候变化的情况下促进可持续农业方式；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（四）研究、促进、开发和增加使用新能源和可再生的能源、二氧化碳固碳技术和有益于环境的先进的创新技术；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（五）逐步减少或逐步消除所有的温室气体排放部门违背《公约》目标的市场缺陷、财政激励、税收和关税免除及补贴，并采用市场手段；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（六）鼓励有关部门的适当改革，旨在促进用以限制或减少《</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"http://baike.baidu.com/item/%E8%92%99%E7%89%B9%E5%88%A9%E5%B0%94%E8%AE%AE%E5%AE%9A%E4%B9%A6"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蒙特利尔议定书</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》未予管制的温室气体的排放的政策和措施；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（七）采取措施在运输部门限制和/或减少《蒙特利尔议定书》未予管制的温室气体排放；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（八）通过废物管理及能源的生产、运输和分配中的回收和利用限制和/或减少甲烷排放；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根据《公约》第四条第2款（e）项第（一）目，同其它此类缔约方合作，以增强它们依本条通过的政策和措施的个别和合并的有效性。为此目的，这些缔约方应采取步骤分享它们关于这些政策和措施的经验并交流信息，包括设法改进这些政策和措施的可比性、透明度和有效性。作为本议定书缔约方会议的《公约》缔约方会议，应在第一届会议上或在此后一旦实际可行时，审议便利这种合作的方法，同时考虑到所有相关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2．附件一所列缔约方应分别通过国际民用航空组织和</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"http://baike.baidu.com/item/%E5%9B%BD%E9%99%85%E6%B5%B7%E4%BA%8B%E7%BB%84%E7%BB%87"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国际海事组织</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作出努力，谋求限制或减少航空和航海舱载燃料产生的《蒙特利尔议定书》未予管制的温室气体的排放。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附件一所列缔约方应以下述方式努力履行本条中所指政策和措施，即最大限度地减少各种不利影响，包括对气候变化的不利影响、对国际贸易的影响，以及对其它缔约方尤其是发展中国家缔约方和《公约》第四条第8款和第9款中所特别指明的那些缔约方的社会、环境和经济影响，同时考虑到《公约》第三条。作为本议定书缔约方会议的《公约》缔约方会议可以酌情采取进一步行动促进本款规定的实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4．作为本议定书缔约方会议的《公约》缔约方会议如断定就上述第1款（a）项中所指任何政策和措施进行协调是有益的，同时考虑到不同的国情和潜在影响，应就阐明协调这些政策和措施的方式和方法进行审议。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6" w:name="5_3"/>
      <w:bookmarkEnd w:id="6"/>
      <w:bookmarkStart w:id="7" w:name="sub41423_5_3"/>
      <w:bookmarkEnd w:id="7"/>
      <w:bookmarkStart w:id="8" w:name="第三条"/>
      <w:bookmarkEnd w:id="8"/>
      <w:r>
        <w:rPr>
          <w:rFonts w:hint="eastAsia" w:ascii="仿宋_GB2312" w:hAnsi="仿宋_GB2312" w:eastAsia="仿宋_GB2312" w:cs="仿宋_GB2312"/>
          <w:i w:val="0"/>
          <w:caps w:val="0"/>
          <w:color w:val="auto"/>
          <w:spacing w:val="0"/>
          <w:sz w:val="30"/>
          <w:szCs w:val="30"/>
          <w:shd w:val="clear" w:fill="FFFFFF"/>
        </w:rPr>
        <w:t>第三条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1．附件一所列缔约方应个别地或共同地确保其在附件A中所列温室气体的人为</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"http://baike.baidu.com/item/%E4%BA%8C%E6%B0%A7%E5%8C%96%E7%A2%B3%E5%BD%93%E9%87%8F"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二氧化碳当量</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排放总量不超过按照附件B中所载其量化的限制和减少排放的承诺和根据本条的规定所计算的其分配数量，以使其在2008年至2012年承诺期内这些气体的全部排放量从1990年水平至少减少5%。</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2．附件一所列每一缔约方到2005年时，应在履行其依本议定书规定的承诺方面作出可予证实的进展。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自1990年以来直接由人引起的土地利用变化和林业活动——限于造林、重新造林和砍伐森林，产生的温室气体源的排放和碳吸收方面的净变化，作为每个承诺期碳贮存方面可核查的变化来衡量，应用以实现附件一所列每一缔约方依本条规定的承诺。与这些活动相关的温室气体源的排放和碳的清除，应以透明且可核查的方式作出报告，并依第七条和第八条予以审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在作为本议定书缔约方会议的《公约》缔约方会议第一届会议之前，附件一所列每缔约方应提供数据供附属科技咨询机构审议，以便确定其1990年的碳贮存并能对其以后各年的碳贮存方面的变化作出估计。作为本议定书缔约方会议的《公约》缔约方会议，应在第一届会议或在其后一旦实际可行时，就涉及与农业土壤和土地利用变化和林业类各种温室气体源的排放和各种汇的清除方面变化有关的哪些因人引起的其它活动，应如何加到附件一所列缔约方的分配数量中或从中减去的方式、规则和指南作出决定，同时考虑到各种不确定性、报告的透明度、可核查性、政府间气候变化专门委员会方法学方面的工作、附属科技咨询机构根据第五条提供的咨询意见以及《公约》缔约方会议的决定。此项决定应适用于第二个和以后的承诺期。一缔约方可为其第一个承诺期这些额外的因人引起的活动选择适用此项决定，但这些活动须自1990年以来已经进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其基准年或期间系根据《公约》缔约方会议第二届会议第9/CP.2号决定确定的、正在向市场经济过渡的附件一所列缔约方在履其本条中的承诺时应以该基准年或期间为准。正在向市场经济过渡但尚未依《公约》第十二条提交其第一次国家信息通报的附件一所列任何其他缔约方也可通知作为本议定书缔约方会议的《公约》缔约方会议它有意为履行依本条规定的承诺使用除1990年以外的某一历史基准年或期间。作为本议定书缔约方会议的《公约》缔约方会议应就这种通知的接受作出决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6．考虑到《公约》第四条第6款，作为本议定书缔约方会议的《公约》缔约方会议，应允许正在向市场经济过渡的附件一所列缔约方在履行其除本条规定的那些承诺以外的承诺方面有一定程度的灵活性。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7．在从2008年至2012年第一个量化的限制和减少排放的承诺期内，附件一所列每一缔约方的分配数量应等于在附件B中对附件A所列温室气体在1990年或按照上述第5款确定的基准年或基准期内其人为二氧化碳当量的排放总量所载的其百分比乘以5。土地利用变化和林业对其构成1990年温室气体排放净源的附件一所列那些缔约方，为计算其分配数量的目的，应在它们1990年排放基准年或基准期计入各种源的人为二氧化碳当量排放总量减去1990年土地利用变化产生的各种汇的清除。</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8．附件一所列任一缔约方，为上述第7款所指计算的目的，可使用1995年作为其氢氟碳化物、全氟化碳和六氟化硫的基准年。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9．附件一所列缔约方对以后期间的承诺应在对本议定书附件B的修正中加以确定，此类修正应根据第二十一条第7款的规定予以通过。作为本议定书缔约方会议的《公约》缔约方会议应至少在上述第1款中所指第一个承诺期结束之前七年开始审议此类承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10．一缔约方根据第六条或第十七条的规定从另一缔约方获得的任何减少排放单位或一个分配数量的任何部分，应计入获得缔约方的分配数量。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11．一缔约方根据第六条和第十七条的规定转让给另一缔约方的任何减少排放单位或一个分配数量的任何部分，应从转让缔约方的分配数量中减去。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12．一缔约方根据第十二条的规定从另一缔约方获得的任何经证明的减少排放，应记入获得缔约方的分配数量。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13．如附件一所列一缔约方在一承诺期内的排放少于其依本条确定的分配数量，此种差额，应该缔约方要求，应记入该缔约方以后的承诺期的分配数量。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14．附件一所列每一缔约方应以下述方式努力履行上述第一款的承诺，即最大限度地减少对发展中国家缔约方、尤其是《公约》第四条第8款和第9款所特别指明的那些缔约方不利的社会、环境和经济影响。依照《公约》缔约方会议关于履行这些条款的相关决定，作为本议定书缔约方会议的《公约》缔约方会议，应在第一届会议上审议可采取何种必要行动以尽量减少气候变化的不利后果和/或对应措施对上述条款中所指缔约方的影响。须予审议的问题应包括资金筹措、保险和技术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9" w:name="5_4"/>
      <w:bookmarkEnd w:id="9"/>
      <w:bookmarkStart w:id="10" w:name="sub41423_5_4"/>
      <w:bookmarkEnd w:id="10"/>
      <w:bookmarkStart w:id="11" w:name="第四条"/>
      <w:bookmarkEnd w:id="11"/>
      <w:r>
        <w:rPr>
          <w:rFonts w:hint="eastAsia" w:ascii="仿宋_GB2312" w:hAnsi="仿宋_GB2312" w:eastAsia="仿宋_GB2312" w:cs="仿宋_GB2312"/>
          <w:i w:val="0"/>
          <w:caps w:val="0"/>
          <w:color w:val="auto"/>
          <w:spacing w:val="0"/>
          <w:sz w:val="30"/>
          <w:szCs w:val="30"/>
          <w:shd w:val="clear" w:fill="FFFFFF"/>
        </w:rPr>
        <w:t>第四条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凡订立协定共同履行其依第三条规定的承诺的附件一所列任何缔约方，只要其依附件A中所列温室气体的合并的人为二氧化碳当量排放总量不超过附件B中所载根据其量化的限制和减少排放的承诺和根据第三条规定所计算的分配数量，就应被视为履行了这些承诺。分配给该协定每一缔约方的各自排放水平应载明于该协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2．任何此类协定的各缔约方应在它们交存批准、接受或核准本议定书或加入本议定书之日将该协定内容通知秘书处。其后秘书处应将该协定内容通知《公约》缔约方和签署方。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3．任何此类协定应在第三条第7款所指承诺期的持续期间内继续实施。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4．如缔约方在一</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"http://baike.baidu.com/item/%E5%8C%BA%E5%9F%9F%E7%BB%8F%E6%B5%8E%E4%B8%80%E4%BD%93%E5%8C%96"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区域经济一体化</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组织的框架内并与该组织一起共同行事，该组织的组成在本议定书通过后的任何变动不应影响依本议定书规定的现有承诺。该组织在组成上的任何变动只应适用于那些继该变动后通过的依第三条规定的承诺。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5．一旦该协定的各缔约方未能达到它们的总的合并减少排放水平，此类协定的每一缔约方应对该协定中载明的其自身的排放水平负责。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如缔约方在一个本身为议定书缔约方的区域经济一体化组织的框架内并与该组织一起共同行事，该区域经济一体化组织的每一成员国单独地并与按照第二十四条行事的区域经济一体化组织一起，如未能达到总的合并减少排放水平，则应对依本条所通知的其排放水平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12" w:name="5_5"/>
      <w:bookmarkEnd w:id="12"/>
      <w:bookmarkStart w:id="13" w:name="sub41423_5_5"/>
      <w:bookmarkEnd w:id="13"/>
      <w:bookmarkStart w:id="14" w:name="第五条"/>
      <w:bookmarkEnd w:id="14"/>
      <w:r>
        <w:rPr>
          <w:rFonts w:hint="eastAsia" w:ascii="仿宋_GB2312" w:hAnsi="仿宋_GB2312" w:eastAsia="仿宋_GB2312" w:cs="仿宋_GB2312"/>
          <w:i w:val="0"/>
          <w:caps w:val="0"/>
          <w:color w:val="auto"/>
          <w:spacing w:val="0"/>
          <w:sz w:val="30"/>
          <w:szCs w:val="30"/>
          <w:shd w:val="clear" w:fill="FFFFFF"/>
        </w:rPr>
        <w:t>第五条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附件一所列每一缔约方，应在不迟于第一个承诺期开始前一年，确立一个估算《蒙特利尔议定书》未予管制的所有温室气体的各种源的人为排放和各种汇的清除的国家体系。应体现下述第2款所指方法学的此类国家体系的指南，应由作为本议定书缔约方会议的《公约》缔约方会议第一届会议予以决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估算《蒙特利尔议定书》未予管制的所有温室气体的各种源的人为排放和各种汇的清除的方法学。如不使用这种方法学，则应根据作为本议定书缔约方会议的《公约》缔约方会议第一届会议所议定的方法学作出适当调整。作为本议定书缔约方会议的《公约》缔约方会议，除其它外，应基于政府间气候变化专门委员会的工作和附属科技咨询机构提供的咨询意见，定期审评和酌情修订这些方法学和作出调整，同时充分考虑到《公约》缔约方会议作出的任何有关决定。对方法学的任何修订或调整，应只用于为了在继该修订后通过的任何承诺期内确定依第三条规定的承诺的遵守情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用以计算附件A所列温室气体的各种源的人为排放和各种汇的清除的全球升温潜能值，应是由政府间气候变化专门委员会所接受并经《公约》缔约方会议第三届会议所议定者。作为本议定书缔约方会议的《公约》缔约方会议，定期审评和酌情修订每种此类温室气体的全球升温潜能值，同时充分考虑到《公约》缔约方会议作出的任何有关决定。对全球升温潜能值的任何修订，应只适用于继该修订后所通过的任何承诺期依第三条规定的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15" w:name="5_6"/>
      <w:bookmarkEnd w:id="15"/>
      <w:bookmarkStart w:id="16" w:name="sub41423_5_6"/>
      <w:bookmarkEnd w:id="16"/>
      <w:bookmarkStart w:id="17" w:name="第六条"/>
      <w:bookmarkEnd w:id="17"/>
      <w:r>
        <w:rPr>
          <w:rFonts w:hint="eastAsia" w:ascii="仿宋_GB2312" w:hAnsi="仿宋_GB2312" w:eastAsia="仿宋_GB2312" w:cs="仿宋_GB2312"/>
          <w:i w:val="0"/>
          <w:caps w:val="0"/>
          <w:color w:val="auto"/>
          <w:spacing w:val="0"/>
          <w:sz w:val="30"/>
          <w:szCs w:val="30"/>
          <w:shd w:val="clear" w:fill="FFFFFF"/>
        </w:rPr>
        <w:t>第六条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为履行第三条的承诺的目的，附件一所列任一缔约方可以向任何其它此类缔约方转让或从它们获得由任何经济部门旨在减少温室气体的各种源的人为排放或增强各种汇的人为清除的项目所产生的减少排放单位，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（a）任何此类项目须经有关缔约方批准；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（b）任何此类项目须能减少源的排放，或增强汇的清除，这一减少或增强对任何以其它方式发生的减少或增强是额外的；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（c）缔约方如果不遵守其依第五条和第七条规定的义务，则不可以获得任何减少排放单位；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（d）减少排放单位的获得应是对为履行依第三条规定的承诺而采取的本国行动的补充。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2．作为本议定书缔约方会议的《公约》缔约方会议，可在第一届会议或在其后一旦实际可行时，为履行本条、包括为核查和报告进一步制订指南。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3．附件一所列一缔约方可以授权法律实体在该缔约方的负责下参加可导致依本条产生、转让或获得减少排放单位的行动。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如依第八条的有关规定查明附件一所列一缔约方履行本条所指的要求有问题，减少排放单位的转让和获得在查明问题后可继续进行，但在任何遵守问题获得解决之前，一缔约方不可使用任何减少排放单位来履行其依第三条的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18" w:name="5_7"/>
      <w:bookmarkEnd w:id="18"/>
      <w:bookmarkStart w:id="19" w:name="sub41423_5_7"/>
      <w:bookmarkEnd w:id="19"/>
      <w:bookmarkStart w:id="20" w:name="第七条"/>
      <w:bookmarkEnd w:id="20"/>
      <w:r>
        <w:rPr>
          <w:rFonts w:hint="eastAsia" w:ascii="仿宋_GB2312" w:hAnsi="仿宋_GB2312" w:eastAsia="仿宋_GB2312" w:cs="仿宋_GB2312"/>
          <w:i w:val="0"/>
          <w:caps w:val="0"/>
          <w:color w:val="auto"/>
          <w:spacing w:val="0"/>
          <w:sz w:val="30"/>
          <w:szCs w:val="30"/>
          <w:shd w:val="clear" w:fill="FFFFFF"/>
        </w:rPr>
        <w:t>第七条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附件一所列每一缔约方应在其根据《公约》缔约方会议的相关决定提交的《蒙特利尔议定书》未予管制的温室气体的各种源的人为排放和各种汇的清除的年度清单内，载列将根据下述第4款确定的为确保遵守第三条的目的而必要的补充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2．附件一所列每一缔约方应在其依《公约》第十二条提交的国家信息通报中载列根据下述第4款确定的必要的补充信息，以示其遵守本议定书所规定承诺的情况。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附件一所列每一缔约方应自本议定书对其生效后的承诺期第一年根据《公约》提交第一次清单始，每年提交上述第1款所要求的信息。每一此类缔约方应提交上述第2款所要求的信息，作为在本议定书对其生效后和在依下述第4款规定通过指南后应提交的第一次国家信息通报的一部分。其后提交本条所要求的信息的频度，应由作为本议定书缔约方会议的《公约》缔约方会议予以确定，同时考虑到《公约》缔约方会议就提交国家信息通报所决定的任何时间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作为本议定书缔约方会议的《公约》缔约方会议，应在第一届会议上通过并在其后定期审评编制本条所要求信息的指南，同时考虑到《公约》缔约方会议通过的附件一所列缔约方编制国家信息通报的指南。作为本议定书缔约方会议的《公约》缔约方会议，还应在第一个承诺期之前就计算分配数量的方式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21" w:name="5_8"/>
      <w:bookmarkEnd w:id="21"/>
      <w:bookmarkStart w:id="22" w:name="sub41423_5_8"/>
      <w:bookmarkEnd w:id="22"/>
      <w:bookmarkStart w:id="23" w:name="第八条"/>
      <w:bookmarkEnd w:id="23"/>
      <w:r>
        <w:rPr>
          <w:rFonts w:hint="eastAsia" w:ascii="仿宋_GB2312" w:hAnsi="仿宋_GB2312" w:eastAsia="仿宋_GB2312" w:cs="仿宋_GB2312"/>
          <w:i w:val="0"/>
          <w:caps w:val="0"/>
          <w:color w:val="auto"/>
          <w:spacing w:val="0"/>
          <w:sz w:val="30"/>
          <w:szCs w:val="30"/>
          <w:shd w:val="clear" w:fill="FFFFFF"/>
        </w:rPr>
        <w:t>第八条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附件一所列每一缔约方依第七条提交的国家信息通报，应由专家审评组根据《公约》缔约方会议相关决定并依照作为本议定书缔约方会议的《公约》缔约方会议依下述第4款为此目的所通过的指南予以审评。附件一所列每一缔约方依第七条第1款提交的信息，应作为排放清单和分配数量的年度汇编和计算的一部分予以审评。此外，附件一所列每一缔约方依第七条第2款提交的信息，应作为信息通报审评的一部分予以审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2．专家审评组应根据《公约》缔约方会议为此目的提供的指导，由秘书处进行协调，并由从《公约》缔约方和在适当情况下政府间组织提名的专家中遴选出的成员组成。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审评过程应对一缔约方履行本议定书的所有方面作出彻底和全面的技术评估。专家审评组应编写一份报告提交作为本议定书缔约方会议的《公约》缔约方会议，在报告中评估该缔约方履行承诺的情况并指明在实现承诺方面任何潜在的问题以及影响实现承诺的各种因素。此类报告应由秘书处分送《公约》的所有缔约方。秘书处应列明此类报告中指明的任何履行问题，以供作为本议定书缔约方会议的《公约》缔约方会议予以进一步审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4．作为本议定书缔约方会议的《公约》缔约方会议，应在第一届会议上通过并在其后定期审评关于由专家审评组审评本议定书履行情况的指南，同时考虑到《公约》缔约方会议的相关决定。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5．作为本议定书缔约方会议的《公约》缔约方会议，应在附属履行机构并酌情在附属科技咨询机构的协助下审议：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（a）缔约方按照第七条提交的信息和按照本条进行的专家审评的报告；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（b）秘书处根据上述第3款列明的那些履行问题，以及缔约方提出的任何问题。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6．根据对上述第5款所指信息的审议情况，作为本议定书缔约方会议的《公约》缔约方会议，应就任何事项作出为履行本议定书所要求的决定。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24" w:name="5_9"/>
      <w:bookmarkEnd w:id="24"/>
      <w:bookmarkStart w:id="25" w:name="sub41423_5_9"/>
      <w:bookmarkEnd w:id="25"/>
      <w:bookmarkStart w:id="26" w:name="第九条"/>
      <w:bookmarkEnd w:id="26"/>
      <w:r>
        <w:rPr>
          <w:rFonts w:hint="eastAsia" w:ascii="仿宋_GB2312" w:hAnsi="仿宋_GB2312" w:eastAsia="仿宋_GB2312" w:cs="仿宋_GB2312"/>
          <w:i w:val="0"/>
          <w:caps w:val="0"/>
          <w:color w:val="auto"/>
          <w:spacing w:val="0"/>
          <w:sz w:val="30"/>
          <w:szCs w:val="30"/>
          <w:shd w:val="clear" w:fill="FFFFFF"/>
        </w:rPr>
        <w:t>第九条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1．作为本议定书缔约方会议的《公约》缔约方会议，应参照可以得到的关于气候变化及其影响的最佳科学信息和评估，以及相关的技术、社会和经济信息，定期审评本议定书。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这些审评应同依《公约》、特别是《公约》第四条第2款（d）项和第七条第2款（a）项所要求的那些相关审评进行协调。在这些审评的基础上，作为本议定书缔约方会议的《公约》缔约方会议应采取适当行动。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2．第一次审评应在作为本议定书缔约方会议的《公约》缔约方会议第二届会议上进行，进一步的审评应定期适时进行。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27" w:name="5_10"/>
      <w:bookmarkEnd w:id="27"/>
      <w:bookmarkStart w:id="28" w:name="sub41423_5_10"/>
      <w:bookmarkEnd w:id="28"/>
      <w:bookmarkStart w:id="29" w:name="第十条"/>
      <w:bookmarkEnd w:id="29"/>
      <w:r>
        <w:rPr>
          <w:rFonts w:hint="eastAsia" w:ascii="仿宋_GB2312" w:hAnsi="仿宋_GB2312" w:eastAsia="仿宋_GB2312" w:cs="仿宋_GB2312"/>
          <w:i w:val="0"/>
          <w:caps w:val="0"/>
          <w:color w:val="auto"/>
          <w:spacing w:val="0"/>
          <w:sz w:val="30"/>
          <w:szCs w:val="30"/>
          <w:shd w:val="clear" w:fill="FFFFFF"/>
        </w:rPr>
        <w:t>第十条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所有缔约方，考虑到它们的共同但有区别的责任以及它们特殊的国家和区域发展优先顺序、目标和情况，在不对未列入附件一的缔约方引入任何新的承诺、但重申依《公约》第四条第1款规定的现有承诺并继续促进履行这些承诺以实现可持续发展的情况下，考虑到《公约》第四条第3款、第5款和第7款，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在相关时并在可能范围内，制订符合成本效益的国家的方案以及在适当情况下区域的方案，以改进可反映每一缔约方社会经济状况的地方排放因素、活动数据和/或模式的质量，用以编制和定期更新《蒙特利尔议定书》未予管制的温室气体的各种源的人为排放和各种汇的清除的国家清单，同时采用将由《公约》缔约方会议议定的可比方法，并与《公约》缔约方会议通过的国家信息通报编制指南相一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（b）制订、执行、公布和定期更新载有减缓气候变化措施和有利于充分适应气候变化措施的国家的方案以及在适当情况下区域的方案：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（一）此类方案，除其它外，将涉及能源、运输和工业部门以及农业、林业和废物管理。此外，旨在改进地区规划的适应技术和方法也可改善对气候变化的适应；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二）附件一所列缔约方应根据第七条提交依本议定书采取的行动、包括国家方案的信息；其它缔约方应努力酌情在它们的国家信息通报中列入载有缔约方认为有助于对付气候变化及其不利影响的措施、包括减缓温室气体排放的增加以及增强汇和汇的清除、能力建设和适应措施的方案的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c）合作促进有效方式用以开发、应用和传播与气候变化有关的有益于环境的技术、专有技术、做法和过程，并采取一切实际步骤促进、便利和酌情资助将此类技术、专有技术、做法和过程特别转让给发展中国家或使它们有机会获得，包括制订政策和方案，以便利有效转让公有或公共支配的有益于环境的技术，并为私有部门创造有利环境以促进和增进转让和获得有益于环境的技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d）在科学技术研究方面进行合作，促进维持和发展有系统的观测系统并发展数据库，以减少与</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"http://baike.baidu.com/item/%E6%B0%94%E5%80%99%E7%B3%BB%E7%BB%9F"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气候系统</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相关的不确定性、气候变化的不利影响和各种应对战略的经济和社会后果，并促进发展和加强本国能力以参与国际及政府间关于研究和系统观测方面的努力、方案和网络，同时考虑到《公约》第五条；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e）在国际一级合作并酌情利用现有机构，促进拟订和实施教育及培训方案，包括加强本国能力建设，特别是加强人才和机构能力、交流或调派人员培训这一领域的专家，尤其是培训发展中国家的专家，并在国家一级促进公众意识和促进公众获得有关气候变化的信息。应发展适当方式通过《公约》的相关机构实施这些活动，同时考虑到《公约》第六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（f）根据《公约》缔约方会议的相关决定，在国家信息通报中列入按照本条进行的方案和活动；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（g）在履行依本条规定的承诺方面，充分考虑到《公约》第四条第8款。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30" w:name="5_11"/>
      <w:bookmarkEnd w:id="30"/>
      <w:bookmarkStart w:id="31" w:name="sub41423_5_11"/>
      <w:bookmarkEnd w:id="31"/>
      <w:bookmarkStart w:id="32" w:name="第十一条"/>
      <w:bookmarkEnd w:id="32"/>
      <w:r>
        <w:rPr>
          <w:rFonts w:hint="eastAsia" w:ascii="仿宋_GB2312" w:hAnsi="仿宋_GB2312" w:eastAsia="仿宋_GB2312" w:cs="仿宋_GB2312"/>
          <w:i w:val="0"/>
          <w:caps w:val="0"/>
          <w:color w:val="auto"/>
          <w:spacing w:val="0"/>
          <w:sz w:val="30"/>
          <w:szCs w:val="30"/>
          <w:shd w:val="clear" w:fill="FFFFFF"/>
        </w:rPr>
        <w:t>第十一条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1．在履行第十条方面，缔约方应考虑到《公约》第四条第4款、第5款、第7款、第8款和第9款的规定。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2．在履行《公约》第四条第1款的范围内，根据《公约》第四条第3款和第十一条的规定，并通过受托经营《公约》资金机制的实体，《公约》附件二所列发达国家缔约方和其它发达缔约方应：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（a）提供新的和额外的资金，以支付经议定的发展中国家为促进履行第十条（a）项所述《公约》第四条第1款（a）项规定的现有承诺而招致的全部费用；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并提供发展中国家缔约方所需要的资金，包括技术转让的资金，以支付经议定的为促进履行第十条所述依《公约》第四条第1款规定的现有承诺并经一发展中国家缔约方与《公约》第十一条所指那个或那些国际实体根据该条议定的全部增加费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这些现有承诺的履行应考虑到资金流量应充足和可以预测的必要性，以及发达国家缔约方间适当分摊负担的重要性。《公约》缔约方会议相关决定中对受托经营《公约》资金机制的实体所作的指导，包括本议定书通过之前议定的那些指导，应比照适用于本款的规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3．《公约》附件二所列发达国家缔约方和其它发达缔约方也可以通过双边、区域和其它多边渠道提供并由发展中国家缔约方获取履行第十条的资金。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33" w:name="5_12"/>
      <w:bookmarkEnd w:id="33"/>
      <w:bookmarkStart w:id="34" w:name="sub41423_5_12"/>
      <w:bookmarkEnd w:id="34"/>
      <w:bookmarkStart w:id="35" w:name="第十二条"/>
      <w:bookmarkEnd w:id="35"/>
      <w:r>
        <w:rPr>
          <w:rFonts w:hint="eastAsia" w:ascii="仿宋_GB2312" w:hAnsi="仿宋_GB2312" w:eastAsia="仿宋_GB2312" w:cs="仿宋_GB2312"/>
          <w:i w:val="0"/>
          <w:caps w:val="0"/>
          <w:color w:val="auto"/>
          <w:spacing w:val="0"/>
          <w:sz w:val="30"/>
          <w:szCs w:val="30"/>
          <w:shd w:val="clear" w:fill="FFFFFF"/>
        </w:rPr>
        <w:t>第十二条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1．兹此确定一种</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"http://baike.baidu.com/item/%E6%B8%85%E6%B4%81%E5%8F%91%E5%B1%95%E6%9C%BA%E5%88%B6"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清洁发展机制</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2．清洁发展机制的目的是协助未列入附件一的缔约方实现可持续发展和有益于《公约》的最终目标，并协助附件一所列缔约方实现遵守第三条规定的其量化的限制和减少排放的承诺。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3．依清洁发展机制：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（a）未列入附件一的缔约方将获益于产生经证明的减少排放的项目活动；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（b）附件一所列缔约方可以利用通过此种项目活动获得的经证明的减少排放，促进遵守由作为本议定书缔约方会议的《公约》缔约方会议确定的依第三条规定的其量化的限制和减少排放的承诺之一部分。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4．清洁发展机制应置于由作为本议定书缔约方会议的《公约》缔约方会议的权力和指导之下，并由清洁发展机制的执行理事会监督。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5．每一项目活动所产生的减少排放，须经作为本议定书缔约方会议的《公约》缔约方会议指定的经营实体根据以下各项作出证明：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（a）经每一有关缔约方批准的自愿参加；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（b）与减缓气候变化相关的实际的、可测量的和长期的效益；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（c）减少排放对于在没有进行经证明的项目活动的情况下产生的任何减少排放而言是额外的。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6．如有必要，清洁发展机制应协助安排经证明的项目活动的筹资。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7．作为本议定书缔约方会议的《公约》缔约方会议，应在第一届会议上拟订方式和程序，以期通过对项目活动的独立审计和核查，确保透明度、效率和可靠性。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8．作为本议定书缔约方会议的《公约》缔约方会议，应确保经证明的项目活动所产生的部分收益用于支付行政开支和协助特别易受气候变化不利影响的发展中国家缔约方支付适应费用。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9．对于清洁发展机制的参与，包括对上述第3款（a）项所指的活动及获得经证明的减少排放的参与，可包括私有和/或公有实体，并须遵守清洁发展机制执行理事会可能提出的任何指导。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10．在自2000年起至第一个承诺期开始这段时期内所获得的经证明的减少排放，可用以协助在第一个承诺期内的遵约。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36" w:name="5_13"/>
      <w:bookmarkEnd w:id="36"/>
      <w:bookmarkStart w:id="37" w:name="sub41423_5_13"/>
      <w:bookmarkEnd w:id="37"/>
      <w:bookmarkStart w:id="38" w:name="第十三条"/>
      <w:bookmarkEnd w:id="38"/>
      <w:r>
        <w:rPr>
          <w:rFonts w:hint="eastAsia" w:ascii="仿宋_GB2312" w:hAnsi="仿宋_GB2312" w:eastAsia="仿宋_GB2312" w:cs="仿宋_GB2312"/>
          <w:i w:val="0"/>
          <w:caps w:val="0"/>
          <w:color w:val="auto"/>
          <w:spacing w:val="0"/>
          <w:sz w:val="30"/>
          <w:szCs w:val="30"/>
          <w:shd w:val="clear" w:fill="FFFFFF"/>
        </w:rPr>
        <w:t>第十三条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1．《公约》缔约方会议 《公约》的最高机构，应作为本议定书缔约方会议。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非为本议定书缔约方的《公约》缔约方，可作为观察员参加作为本议定书缔约方会议的《公约》缔约方会议任何届会的议事工作。在《公约》缔约方会议作为本议定书缔约方会议行使职能时，在本议定书之下的决定只应由为本议定书缔约方者作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在《公约》缔约方会议作为本议定书缔约方会议行使职能时，《公约》缔约方会议主席团中代表《公约》缔约方但在当时非为本议定书缔约方的任何成员，应由本议定书缔约方从本议定书缔约方中选出的另一成员替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4．作为本议定书缔约方会议的《公约》缔约方会议，应定期审评本议定书的履行情况，并应在其权限内作出为促进本议定书有效履行所必要的决定。缔约方会议应履行本议定书赋予它的职能，并应：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基于依本议定书的规定向它提供的所有信息，评估缔约方履行本议定书的情况及根据本议定书采取的措施的总体影响，尤其是环境、经济、社会的影响及其累积的影响，以及在实现《公约》目标方面取得进展的程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根据《公约》的目标、在履行中获得的经验及科学技术知识的发展，定期审查本议定书规定的缔约方义务，同时适当顾及《公约》第四条第2款（d）项和第七条第2款所要求的任何审评，并在此方面审议和通过关于本议定书履行情况的定期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（c）促进和便利就各缔约方为对付气候变化及其影响而采取的措施进行信息交流，同时考虑到缔约方的有差别的情况、责任和能力，以及它们各自依本议定书规定的承诺；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（d）应两个或更多缔约方的要求，便利将这些缔约方为对付气候变化及其影响而采取的措施加以协调；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e）依照《公约》的目标和本议定书的规定，并充分考虑到《公约》缔约方会议的相关决定，促进和指导发展和定期改进由作为本议定书缔约方会议的《公约》缔约方会议议定的、旨在有效履行本议定书的可比较的方法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（f）就任何事项作出为履行本议定书所必需的建议；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（g）根据第十一条第2款，设法动员额外的资金；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（h）设立为履行本议定书而被认为必要的附属机构；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（i）酌情寻求和利用各主管国际组织和政府间及非政府机构提供的服务、合作和信息；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（j）行使为履行本议定书所需的其它职能，并审议《公约》缔约方会议的决定所导致的任何任务。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5．《公约》缔约方会议的议事规则和依《公约》规定采用的财务规则，应在本议定书下比照适用，除非作为本议定书缔约方会议的《公约》缔约方会议以协商一致方式可能另外作出决定。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作为本议定书缔约方会议的《公约》缔约方会议第一届会议，应由秘书处结合本议定书生效后预定举行的《公约》缔约方会议第一届会议召开。其后作为本议定书缔约方会议的《公约》缔约方会议常会，应每年并且与《公约》缔约方会议常会结合举行，除非作为本议定书缔约方会议的《公约》缔约方会议另有决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7．作为本议定书缔约方会议的《公约》缔约方会议的特别会议，应在作为本议定书缔约方会议的《公约》缔约方会议认为必要的其它时间举行，或应任何缔约方的书面要求而举行，但须在秘书处将该要求转达给各缔约方后六个月内得到至少三分之一缔约方的支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8．联合国及其专门机构和</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"http://baike.baidu.com/item/%E5%9B%BD%E9%99%85%E5%8E%9F%E5%AD%90%E8%83%BD%E6%9C%BA%E6%9E%84"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国际原子能机构</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以及它们的非为《公约》缔约方的成员国或观察员，均可派代表作为观察员出席作为本议定书缔约方会议的《公约》缔约方会议的各届会议。任何在本议定书所涉事项上具备资格的团体或机构，无论是国家或国际的、政府或非政府的，经通知秘书处其愿意派代表作为观察员出席作为本议定书缔约方会议的《公约》缔约方会议的某届会议，均可予以接纳，除非出席的缔约方至少三分之一反对。观察员的接纳和参加应遵循上述第5款所指的议事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39" w:name="5_14"/>
      <w:bookmarkEnd w:id="39"/>
      <w:bookmarkStart w:id="40" w:name="sub41423_5_14"/>
      <w:bookmarkEnd w:id="40"/>
      <w:bookmarkStart w:id="41" w:name="第十四条"/>
      <w:bookmarkEnd w:id="41"/>
      <w:r>
        <w:rPr>
          <w:rFonts w:hint="eastAsia" w:ascii="仿宋_GB2312" w:hAnsi="仿宋_GB2312" w:eastAsia="仿宋_GB2312" w:cs="仿宋_GB2312"/>
          <w:i w:val="0"/>
          <w:caps w:val="0"/>
          <w:color w:val="auto"/>
          <w:spacing w:val="0"/>
          <w:sz w:val="30"/>
          <w:szCs w:val="30"/>
          <w:shd w:val="clear" w:fill="FFFFFF"/>
        </w:rPr>
        <w:t>第十四条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1．依《公约》第八条设立的秘书处，应作为本议定书的秘书处。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2．关于秘书处职能的《公约》第八条第2款和关于就秘书处行使职能作出的安排的《公约》第八条第3款，应比照适用于本议定书。秘书处还应行使本议定书所赋予它的职能。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42" w:name="5_15"/>
      <w:bookmarkEnd w:id="42"/>
      <w:bookmarkStart w:id="43" w:name="sub41423_5_15"/>
      <w:bookmarkEnd w:id="43"/>
      <w:bookmarkStart w:id="44" w:name="第十五条"/>
      <w:bookmarkEnd w:id="44"/>
      <w:r>
        <w:rPr>
          <w:rFonts w:hint="eastAsia" w:ascii="仿宋_GB2312" w:hAnsi="仿宋_GB2312" w:eastAsia="仿宋_GB2312" w:cs="仿宋_GB2312"/>
          <w:i w:val="0"/>
          <w:caps w:val="0"/>
          <w:color w:val="auto"/>
          <w:spacing w:val="0"/>
          <w:sz w:val="30"/>
          <w:szCs w:val="30"/>
          <w:shd w:val="clear" w:fill="FFFFFF"/>
        </w:rPr>
        <w:t>第十五条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公约》第九条和第十条设立的附属科技咨询机构和附属履行机构，应作为本议定书的附属科技咨询机构和附属履行机构。《公约》关于该两个机构行使职能的规定应比照适用于本议定书。本议定书的附属科技咨询机构和附属履行机构的届会，应分别与《公约》的附属科技咨询机构和附属履行机构的会议结合举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2．非为本议定书缔约方的《公约》缔约方可作为观察员参加附属机构任何届会的议事工作。在附属机构作为本议定书附属机构时，在本议定书之下的决定只应由本议定书缔约方作出。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公约》第九条和第十条设立的附属机构行使它们的职能处理涉及本议定书的事项时，附属机构主席团中代表《公约》缔约方但在当时非为本议定书缔约方的任何成员，应由本议定书缔约方从本议定书缔约方中选出的另一成员替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45" w:name="5_16"/>
      <w:bookmarkEnd w:id="45"/>
      <w:bookmarkStart w:id="46" w:name="sub41423_5_16"/>
      <w:bookmarkEnd w:id="46"/>
      <w:bookmarkStart w:id="47" w:name="第十六条"/>
      <w:bookmarkEnd w:id="47"/>
      <w:r>
        <w:rPr>
          <w:rFonts w:hint="eastAsia" w:ascii="仿宋_GB2312" w:hAnsi="仿宋_GB2312" w:eastAsia="仿宋_GB2312" w:cs="仿宋_GB2312"/>
          <w:i w:val="0"/>
          <w:caps w:val="0"/>
          <w:color w:val="auto"/>
          <w:spacing w:val="0"/>
          <w:sz w:val="30"/>
          <w:szCs w:val="30"/>
          <w:shd w:val="clear" w:fill="FFFFFF"/>
        </w:rPr>
        <w:t>第十六条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作为本议定书缔约方会议的《公约》缔约方会议，应参照《公约》缔约方会议可能作出的任何有关决定，在一旦实际可行时审议对本议定书适用并酌情修改《公约》第十三条所指的多边协商程序。适用于本议定书的任何多边协商程序的运作不应损害依第十八条所设立的程序和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48" w:name="5_17"/>
      <w:bookmarkEnd w:id="48"/>
      <w:bookmarkStart w:id="49" w:name="sub41423_5_17"/>
      <w:bookmarkEnd w:id="49"/>
      <w:bookmarkStart w:id="50" w:name="第十七条"/>
      <w:bookmarkEnd w:id="50"/>
      <w:r>
        <w:rPr>
          <w:rFonts w:hint="eastAsia" w:ascii="仿宋_GB2312" w:hAnsi="仿宋_GB2312" w:eastAsia="仿宋_GB2312" w:cs="仿宋_GB2312"/>
          <w:i w:val="0"/>
          <w:caps w:val="0"/>
          <w:color w:val="auto"/>
          <w:spacing w:val="0"/>
          <w:sz w:val="30"/>
          <w:szCs w:val="30"/>
          <w:shd w:val="clear" w:fill="FFFFFF"/>
        </w:rPr>
        <w:t>第十七条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《公约》缔约方会议应就排放贸易，特别是其核查、报告和责任确定相关的原则、方式、规则和指南。为履行其依第三条规定的承诺的目的，附件B所列缔约方可以参与排放贸易。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任何此种贸易应是对为实现该条规定的量化的限制和减少排放的承诺之目的而采取的本国行动的补充。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51" w:name="5_18"/>
      <w:bookmarkEnd w:id="51"/>
      <w:bookmarkStart w:id="52" w:name="sub41423_5_18"/>
      <w:bookmarkEnd w:id="52"/>
      <w:bookmarkStart w:id="53" w:name="第十八条"/>
      <w:bookmarkEnd w:id="53"/>
      <w:r>
        <w:rPr>
          <w:rFonts w:hint="eastAsia" w:ascii="仿宋_GB2312" w:hAnsi="仿宋_GB2312" w:eastAsia="仿宋_GB2312" w:cs="仿宋_GB2312"/>
          <w:i w:val="0"/>
          <w:caps w:val="0"/>
          <w:color w:val="auto"/>
          <w:spacing w:val="0"/>
          <w:sz w:val="30"/>
          <w:szCs w:val="30"/>
          <w:shd w:val="clear" w:fill="FFFFFF"/>
        </w:rPr>
        <w:t>第十八条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作为本议定书缔约方会议的《公约》缔约方会议，应在第一届会议上通过适当且有效的程序和机制，用以继定和处理不遵守本议定书规定的情势，包括就后果列出一个示意性清单，同时考虑到不遵守的原因、类别、程度和频度。依本条可引起具拘束性后果的任何程序和机制应以本议定书修正案的方式予以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54" w:name="5_19"/>
      <w:bookmarkEnd w:id="54"/>
      <w:bookmarkStart w:id="55" w:name="sub41423_5_19"/>
      <w:bookmarkEnd w:id="55"/>
      <w:bookmarkStart w:id="56" w:name="第十九条"/>
      <w:bookmarkEnd w:id="56"/>
      <w:r>
        <w:rPr>
          <w:rFonts w:hint="eastAsia" w:ascii="仿宋_GB2312" w:hAnsi="仿宋_GB2312" w:eastAsia="仿宋_GB2312" w:cs="仿宋_GB2312"/>
          <w:i w:val="0"/>
          <w:caps w:val="0"/>
          <w:color w:val="auto"/>
          <w:spacing w:val="0"/>
          <w:sz w:val="30"/>
          <w:szCs w:val="30"/>
          <w:shd w:val="clear" w:fill="FFFFFF"/>
        </w:rPr>
        <w:t>第十九条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《公约》第十四条的规定应比照适用于本议定书。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57" w:name="5_20"/>
      <w:bookmarkEnd w:id="57"/>
      <w:bookmarkStart w:id="58" w:name="sub41423_5_20"/>
      <w:bookmarkEnd w:id="58"/>
      <w:bookmarkStart w:id="59" w:name="第二十条"/>
      <w:bookmarkEnd w:id="59"/>
      <w:r>
        <w:rPr>
          <w:rFonts w:hint="eastAsia" w:ascii="仿宋_GB2312" w:hAnsi="仿宋_GB2312" w:eastAsia="仿宋_GB2312" w:cs="仿宋_GB2312"/>
          <w:i w:val="0"/>
          <w:caps w:val="0"/>
          <w:color w:val="auto"/>
          <w:spacing w:val="0"/>
          <w:sz w:val="30"/>
          <w:szCs w:val="30"/>
          <w:shd w:val="clear" w:fill="FFFFFF"/>
        </w:rPr>
        <w:t>第二十条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1．任何缔约方均可对本议定书提出修正。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对本议定书的修正应在作为本议定书缔约方会议的《公约》缔约方会议常会上通过。对本议定书提出的任何修正案文，应由秘书处在拟议通过该修正的会议之前至少六个月送交各缔约方。秘书处还应将提出的修正送交《公约》的缔约方和签署方，并送交保存人以供参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各缔约方应尽一切努力以协商一致方式就对本议定书提出的任何修正达成协议。如为谋求协商一致已尽一切努力但仍未达成协议，作为最后的方式，该项修正应以出席会议并参加表决的缔约方四分之三多数票通过。通过的修正应由秘书处送交保存人，再由保存人转送所有缔约方供其接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4．对修正的接受文书应交存于保存人，按照上述第3款通过的修正，应于保存人收到本议定书至少四分之三缔约方的接受文书之日后第九十天起对接受该项修正的缔约方生效。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5．对于任何其它缔约方，修正应在该缔约方向保存人交存其接受该项修正的文书之日后第九十天起对其生效。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60" w:name="5_21"/>
      <w:bookmarkEnd w:id="60"/>
      <w:bookmarkStart w:id="61" w:name="sub41423_5_21"/>
      <w:bookmarkEnd w:id="61"/>
      <w:bookmarkStart w:id="62" w:name="第二十一条"/>
      <w:bookmarkEnd w:id="62"/>
      <w:r>
        <w:rPr>
          <w:rFonts w:hint="eastAsia" w:ascii="仿宋_GB2312" w:hAnsi="仿宋_GB2312" w:eastAsia="仿宋_GB2312" w:cs="仿宋_GB2312"/>
          <w:i w:val="0"/>
          <w:caps w:val="0"/>
          <w:color w:val="auto"/>
          <w:spacing w:val="0"/>
          <w:sz w:val="30"/>
          <w:szCs w:val="30"/>
          <w:shd w:val="clear" w:fill="FFFFFF"/>
        </w:rPr>
        <w:t>第二十一条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本议定书的附件应构成本议定书的组成部分，除非另有明文规定，凡提及本议定书时即同时提及其任何附件。本议定书生效后通过的任何附件，应限于清单、表格和属于科学、技术、程序或行政性质的任何其它说明性材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2．任何缔约方可对本议定书提出附件提案并可对本议定书的附件提出修正。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本议定书的附件和对本议定书附件的修正应在作为本议定书缔约方会议的《公约》缔约方会议的常会上通过。提出的任何附件或对附件的修正的案文应由秘书处在拟议通过该项附件或对该附件的修正的会议之前至少六个月送交各缔约方。秘书处还应将提出的任何附件或对附件的任何修正的案文送交《公约》缔约方和签署方，并送交保存人以供参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各缔约方应尽一切努力以协商一致方式就提出的任何附件或对附件的修正达成协议。如为谋求协商一致已尽一切努力但仍未达成协议，作为最后的方式，该项附件或对附件的修正应以出席会议并参加表决的缔约方四分之三多数票通过。通过的附件或对附件的修正应由秘书处送交保存人，再由保存人送交所有缔约方供其接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除附件A和附件B之外，根据上述第3款和第4款通过的附件或对附件的修正，应于保存人向本议定书的所有缔约方发出关于通过该附件或通过对该附件的修正的通知之日起六个月后对所有缔约方生效，但在此期间书面通知保存人不接受该项附件或对该附件的修正的缔约方除外。对于撤回其不接受通知的缔约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项附件或对该附件的修正应自保存人收到撤回通知之日后第九十天起对其生效。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6．如附件或对附件的修正的通过涉及对本议定书的修正，则该附件或对附件的修正应待对本议定书的修正生效之后方可生效。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7．对本议定书附件A和附件B的修正应根据第二十条中规定的程序予以通过并生效，但对附件B的任何修正只应以有关缔约方书面同意的方式通过。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63" w:name="5_22"/>
      <w:bookmarkEnd w:id="63"/>
      <w:bookmarkStart w:id="64" w:name="sub41423_5_22"/>
      <w:bookmarkEnd w:id="64"/>
      <w:bookmarkStart w:id="65" w:name="第二十二条"/>
      <w:bookmarkEnd w:id="65"/>
      <w:r>
        <w:rPr>
          <w:rFonts w:hint="eastAsia" w:ascii="仿宋_GB2312" w:hAnsi="仿宋_GB2312" w:eastAsia="仿宋_GB2312" w:cs="仿宋_GB2312"/>
          <w:i w:val="0"/>
          <w:caps w:val="0"/>
          <w:color w:val="auto"/>
          <w:spacing w:val="0"/>
          <w:sz w:val="30"/>
          <w:szCs w:val="30"/>
          <w:shd w:val="clear" w:fill="FFFFFF"/>
        </w:rPr>
        <w:t>第二十二条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1．除下述第2款所规定外，每一缔约方应有一票表决权。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2．区域经济一体化组织在其权限内的事项上应行使票数与其作为本议定书缔约方的成员国数目相同的表决权。如果一个此类组织的任一成员国行使自己的表决权，则该组织不得行使表决权，反之亦然。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66" w:name="5_23"/>
      <w:bookmarkEnd w:id="66"/>
      <w:bookmarkStart w:id="67" w:name="sub41423_5_23"/>
      <w:bookmarkEnd w:id="67"/>
      <w:bookmarkStart w:id="68" w:name="第二十三条"/>
      <w:bookmarkEnd w:id="68"/>
      <w:r>
        <w:rPr>
          <w:rFonts w:hint="eastAsia" w:ascii="仿宋_GB2312" w:hAnsi="仿宋_GB2312" w:eastAsia="仿宋_GB2312" w:cs="仿宋_GB2312"/>
          <w:i w:val="0"/>
          <w:caps w:val="0"/>
          <w:color w:val="auto"/>
          <w:spacing w:val="0"/>
          <w:sz w:val="30"/>
          <w:szCs w:val="30"/>
          <w:shd w:val="clear" w:fill="FFFFFF"/>
        </w:rPr>
        <w:t>第二十三条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"http://baike.baidu.com/item/%E8%81%94%E5%90%88%E5%9B%BD%E7%A7%98%E4%B9%A6%E9%95%BF"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联合国秘书长</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应为本议定书的保存人。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69" w:name="5_24"/>
      <w:bookmarkEnd w:id="69"/>
      <w:bookmarkStart w:id="70" w:name="sub41423_5_24"/>
      <w:bookmarkEnd w:id="70"/>
      <w:bookmarkStart w:id="71" w:name="第二十四条"/>
      <w:bookmarkEnd w:id="71"/>
      <w:r>
        <w:rPr>
          <w:rFonts w:hint="eastAsia" w:ascii="仿宋_GB2312" w:hAnsi="仿宋_GB2312" w:eastAsia="仿宋_GB2312" w:cs="仿宋_GB2312"/>
          <w:i w:val="0"/>
          <w:caps w:val="0"/>
          <w:color w:val="auto"/>
          <w:spacing w:val="0"/>
          <w:sz w:val="30"/>
          <w:szCs w:val="30"/>
          <w:shd w:val="clear" w:fill="FFFFFF"/>
        </w:rPr>
        <w:t>第二十四条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1．本议定书应开放供属于《公约》缔约方的各国和区域经济一体化组织签署并须经其批准、接受或核准。本议定书应自1998年3月16日至1999年3月15日在</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"http://baike.baidu.com/item/%E7%BA%BD%E7%BA%A6%E8%81%94%E5%90%88%E5%9B%BD%E6%80%BB%E9%83%A8"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纽约联合国总部</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开放供签署。本议定书应自其签署截止日之次日起开放供加入。批准、接受、核准或加入的文书应交存于保存人。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任何成为本议定书缔约方而其成员国均非缔约方的区域经济一体化组织应受本议定书各项义务的约束。如果此类组织的一个或多个成员国为本议定书的缔约方，该组织及其成员国应决定各自在履行本议定书义务方面的责任。在此种情况下，该组织及其成员国无权同时行使本议定书规定的权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3．区域经济一体化组织应在其批准、接受、核准或加入的文书中声明其在本议定书所规定事项上的权限。这些组织还应将其权限范围的任何重大变更通知保存人，再由保存人通知各缔约方。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72" w:name="5_25"/>
      <w:bookmarkEnd w:id="72"/>
      <w:bookmarkStart w:id="73" w:name="sub41423_5_25"/>
      <w:bookmarkEnd w:id="73"/>
      <w:bookmarkStart w:id="74" w:name="第二十五条"/>
      <w:bookmarkEnd w:id="74"/>
      <w:r>
        <w:rPr>
          <w:rFonts w:hint="eastAsia" w:ascii="仿宋_GB2312" w:hAnsi="仿宋_GB2312" w:eastAsia="仿宋_GB2312" w:cs="仿宋_GB2312"/>
          <w:i w:val="0"/>
          <w:caps w:val="0"/>
          <w:color w:val="auto"/>
          <w:spacing w:val="0"/>
          <w:sz w:val="30"/>
          <w:szCs w:val="30"/>
          <w:shd w:val="clear" w:fill="FFFFFF"/>
        </w:rPr>
        <w:t>第二十五条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本议定书应在不少于五十五个《公约》缔约方、包括其合计的二氧化碳排放量至少占附件一所列缔约方1990年二氧化碳排放总量的55%的附件一所列缔约方已经交存其批准、接受、核准或加入的文书之日后第九十天起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2．为本条的目的，“附件一所列缔约方1990年二氧化碳排放总量”指在通过本议定书之日或之前附件一所列缔约方在其按照《公约》第十二条提交的第一次国家信息通报中通报的数量。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3．对于在上述第1款中规定的生效条件达到之后批准、接受、核准或加入本议定书的每一国家或区域经济一体化组织，本议定书应自其批准、接受、核准或加入的文书交存之日后第九十天起生效。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4．为本条的目的，区域经济一体化组织交存的任何文书，不应被视为该组织成员国所交存文书之外的额外文书。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75" w:name="5_26"/>
      <w:bookmarkEnd w:id="75"/>
      <w:bookmarkStart w:id="76" w:name="sub41423_5_26"/>
      <w:bookmarkEnd w:id="76"/>
      <w:bookmarkStart w:id="77" w:name="第二十六条"/>
      <w:bookmarkEnd w:id="77"/>
      <w:r>
        <w:rPr>
          <w:rFonts w:hint="eastAsia" w:ascii="仿宋_GB2312" w:hAnsi="仿宋_GB2312" w:eastAsia="仿宋_GB2312" w:cs="仿宋_GB2312"/>
          <w:i w:val="0"/>
          <w:caps w:val="0"/>
          <w:color w:val="auto"/>
          <w:spacing w:val="0"/>
          <w:sz w:val="30"/>
          <w:szCs w:val="30"/>
          <w:shd w:val="clear" w:fill="FFFFFF"/>
        </w:rPr>
        <w:t>第二十六条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对本议定书不得作任何保留。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78" w:name="5_27"/>
      <w:bookmarkEnd w:id="78"/>
      <w:bookmarkStart w:id="79" w:name="sub41423_5_27"/>
      <w:bookmarkEnd w:id="79"/>
      <w:bookmarkStart w:id="80" w:name="第二十七条"/>
      <w:bookmarkEnd w:id="80"/>
      <w:r>
        <w:rPr>
          <w:rFonts w:hint="eastAsia" w:ascii="仿宋_GB2312" w:hAnsi="仿宋_GB2312" w:eastAsia="仿宋_GB2312" w:cs="仿宋_GB2312"/>
          <w:i w:val="0"/>
          <w:caps w:val="0"/>
          <w:color w:val="auto"/>
          <w:spacing w:val="0"/>
          <w:sz w:val="30"/>
          <w:szCs w:val="30"/>
          <w:shd w:val="clear" w:fill="FFFFFF"/>
        </w:rPr>
        <w:t>第二十七条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1．自本议定书对一缔约方生效之日起三年后，该缔约方可随时向保存人发出书面通知退出本议定书。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2．任何此种退出应自保存人收到退出通知之日起一年期满时生效，或在退出通知中所述明的变更后日期生效。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3．退出《公约》的任何缔约方，应被视为亦退出本议定书。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left"/>
        <w:textAlignment w:val="auto"/>
        <w:rPr>
          <w:rFonts w:hint="eastAsia" w:ascii="仿宋_GB2312" w:hAnsi="仿宋_GB2312" w:eastAsia="仿宋_GB2312" w:cs="仿宋_GB2312"/>
          <w:color w:val="auto"/>
          <w:sz w:val="30"/>
          <w:szCs w:val="30"/>
        </w:rPr>
      </w:pPr>
      <w:bookmarkStart w:id="81" w:name="5_28"/>
      <w:bookmarkEnd w:id="81"/>
      <w:bookmarkStart w:id="82" w:name="sub41423_5_28"/>
      <w:bookmarkEnd w:id="82"/>
      <w:bookmarkStart w:id="83" w:name="第二十八条"/>
      <w:bookmarkEnd w:id="83"/>
      <w:r>
        <w:rPr>
          <w:rFonts w:hint="eastAsia" w:ascii="仿宋_GB2312" w:hAnsi="仿宋_GB2312" w:eastAsia="仿宋_GB2312" w:cs="仿宋_GB2312"/>
          <w:i w:val="0"/>
          <w:caps w:val="0"/>
          <w:color w:val="auto"/>
          <w:spacing w:val="0"/>
          <w:sz w:val="30"/>
          <w:szCs w:val="30"/>
          <w:shd w:val="clear" w:fill="FFFFFF"/>
        </w:rPr>
        <w:t>第二十八条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本议定书正本应交存于联合国秘书长，其阿拉伯文、中文、英文、法文、俄文和西班牙文文本同等作准。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left"/>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1997年12月11日订于京都</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left="0" w:leftChars="0" w:right="0" w:rightChars="0"/>
        <w:jc w:val="both"/>
        <w:textAlignment w:val="auto"/>
        <w:rPr>
          <w:rFonts w:hint="eastAsia" w:ascii="仿宋_GB2312" w:hAnsi="仿宋_GB2312" w:eastAsia="仿宋_GB2312" w:cs="仿宋_GB2312"/>
          <w:b w:val="0"/>
          <w:i w:val="0"/>
          <w:caps w:val="0"/>
          <w:color w:val="auto"/>
          <w:spacing w:val="0"/>
          <w:sz w:val="30"/>
          <w:szCs w:val="30"/>
          <w:shd w:val="clear" w:fill="FFFFFF"/>
        </w:rPr>
      </w:pPr>
      <w:bookmarkStart w:id="84" w:name="_GoBack"/>
      <w:bookmarkEnd w:id="8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32869"/>
    <w:rsid w:val="143F754C"/>
    <w:rsid w:val="517E2697"/>
    <w:rsid w:val="62FA7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2017-07-05T13:00:53Z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